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01F5" w:rsidRPr="001E0A96" w:rsidRDefault="009401F5" w:rsidP="009401F5">
      <w:pPr>
        <w:pBdr>
          <w:top w:val="single" w:sz="4" w:space="1" w:color="auto"/>
          <w:left w:val="single" w:sz="4" w:space="4" w:color="auto"/>
          <w:bottom w:val="single" w:sz="4" w:space="1" w:color="auto"/>
          <w:right w:val="single" w:sz="4" w:space="4" w:color="auto"/>
        </w:pBdr>
        <w:tabs>
          <w:tab w:val="left" w:pos="8505"/>
        </w:tabs>
        <w:spacing w:line="276" w:lineRule="auto"/>
        <w:ind w:right="-7"/>
      </w:pPr>
      <w:bookmarkStart w:id="0" w:name="_GoBack"/>
      <w:bookmarkEnd w:id="0"/>
      <w:r w:rsidRPr="001E0A96">
        <w:t xml:space="preserve">This is an Accepted Manuscript of a book chapter published by Routledge in </w:t>
      </w:r>
      <w:r>
        <w:rPr>
          <w:rFonts w:eastAsiaTheme="minorHAnsi"/>
          <w:lang w:eastAsia="en-US"/>
        </w:rPr>
        <w:t>i</w:t>
      </w:r>
      <w:r w:rsidRPr="00484FFB">
        <w:rPr>
          <w:rFonts w:eastAsiaTheme="minorHAnsi"/>
          <w:lang w:eastAsia="en-US"/>
        </w:rPr>
        <w:t>n: Shove E and Spurling N (</w:t>
      </w:r>
      <w:proofErr w:type="spellStart"/>
      <w:proofErr w:type="gramStart"/>
      <w:r w:rsidRPr="00484FFB">
        <w:rPr>
          <w:rFonts w:eastAsiaTheme="minorHAnsi"/>
          <w:lang w:eastAsia="en-US"/>
        </w:rPr>
        <w:t>eds</w:t>
      </w:r>
      <w:proofErr w:type="spellEnd"/>
      <w:proofErr w:type="gramEnd"/>
      <w:r w:rsidRPr="00484FFB">
        <w:rPr>
          <w:rFonts w:eastAsiaTheme="minorHAnsi"/>
          <w:lang w:eastAsia="en-US"/>
        </w:rPr>
        <w:t>)</w:t>
      </w:r>
      <w:r>
        <w:rPr>
          <w:rFonts w:eastAsiaTheme="minorHAnsi"/>
          <w:lang w:eastAsia="en-US"/>
        </w:rPr>
        <w:t xml:space="preserve"> (2013)</w:t>
      </w:r>
      <w:r w:rsidRPr="00484FFB">
        <w:rPr>
          <w:rFonts w:eastAsiaTheme="minorHAnsi"/>
          <w:lang w:eastAsia="en-US"/>
        </w:rPr>
        <w:t xml:space="preserve"> </w:t>
      </w:r>
      <w:r w:rsidRPr="00484FFB">
        <w:rPr>
          <w:rFonts w:eastAsiaTheme="minorHAnsi"/>
          <w:i/>
          <w:iCs/>
          <w:lang w:eastAsia="en-US"/>
        </w:rPr>
        <w:t>Sustainable practices: social theory and climate change.</w:t>
      </w:r>
      <w:r w:rsidRPr="00484FFB">
        <w:rPr>
          <w:rFonts w:eastAsiaTheme="minorHAnsi"/>
          <w:lang w:eastAsia="en-US"/>
        </w:rPr>
        <w:t xml:space="preserve"> London: Routledge, </w:t>
      </w:r>
      <w:r>
        <w:rPr>
          <w:rFonts w:eastAsiaTheme="minorHAnsi"/>
          <w:lang w:eastAsia="en-US"/>
        </w:rPr>
        <w:t>p.</w:t>
      </w:r>
      <w:r w:rsidRPr="00484FFB">
        <w:rPr>
          <w:rFonts w:eastAsiaTheme="minorHAnsi"/>
          <w:lang w:eastAsia="en-US"/>
        </w:rPr>
        <w:t>89-102.</w:t>
      </w:r>
      <w:r>
        <w:t xml:space="preserve"> Available: </w:t>
      </w:r>
      <w:r w:rsidRPr="009401F5">
        <w:t>https://www.routledge.com/Sustainable-Practices-Social-Theory-and-Climate-Change/Shove-Spurling/p/book/9780415540650</w:t>
      </w:r>
    </w:p>
    <w:p w:rsidR="009401F5" w:rsidRDefault="009401F5" w:rsidP="009401F5">
      <w:pPr>
        <w:pStyle w:val="book-title"/>
      </w:pPr>
    </w:p>
    <w:p w:rsidR="009D07CE" w:rsidRDefault="009D07CE" w:rsidP="009401F5">
      <w:pPr>
        <w:pStyle w:val="book-title"/>
      </w:pPr>
      <w:r>
        <w:t xml:space="preserve">Practices, movement and circulation: implications for sustainability </w:t>
      </w:r>
    </w:p>
    <w:p w:rsidR="009D07CE" w:rsidRDefault="009D07CE" w:rsidP="009401F5">
      <w:pPr>
        <w:pStyle w:val="book-title"/>
      </w:pPr>
      <w:r>
        <w:t>Allison Hui</w:t>
      </w:r>
    </w:p>
    <w:p w:rsidR="009D07CE" w:rsidRDefault="009D07CE" w:rsidP="009401F5">
      <w:pPr>
        <w:pStyle w:val="book-para"/>
      </w:pPr>
      <w:r>
        <w:t xml:space="preserve">Somewhere in Southern India, a man sits in a rickshaw. His long white beard proclaims his age at the same time that his accent and immaculate linen clothes belie his displacement. He’s not from around here. The name of his website, </w:t>
      </w:r>
      <w:r w:rsidRPr="007310A2">
        <w:t>www.haveyoga-willtravel.com</w:t>
      </w:r>
      <w:r>
        <w:t xml:space="preserve">, suggests that being away from his home in Australia is quite normal. Perhaps such trips have been occurring for years. On this day, the day he is being recorded for a video documentary, David Roche has travelled to India for a special occasion. It is the ninetieth birthday of his guru, Shri K. Pattabhi Jois, the founder of Ashtanga yoga. Sitting in the rickshaw, after having likely flown many miles, he tells an absent audience: ‘Everybody that’s in the Ashtanga world, pretty much, is here’ </w:t>
      </w:r>
      <w:r>
        <w:rPr>
          <w:noProof/>
        </w:rPr>
        <w:t>(Wilkins 2006)</w:t>
      </w:r>
      <w:r>
        <w:t>. He is only one of hundreds of yoga students from locations near and far to have made the trip.</w:t>
      </w:r>
    </w:p>
    <w:p w:rsidR="009D07CE" w:rsidRDefault="009D07CE" w:rsidP="009401F5">
      <w:pPr>
        <w:pStyle w:val="book-para"/>
      </w:pPr>
      <w:r>
        <w:t>This mass migration of yoga students contrasts sharply with the low levels of travel and resource consumption that are needed for everyday yoga practice. Unlike skiing or surfing, people don’t need to leave home to participate – they can get on a yoga mat anywhere and start moving through the postures. Why then does someone like David Roche need to undertake long-distance travel? By examining the intersection of practices and travel more closely, this chapter suggests answers and, alongside them, new approaches for addressing environmental sustainability.</w:t>
      </w:r>
    </w:p>
    <w:p w:rsidR="009D07CE" w:rsidRDefault="009D07CE" w:rsidP="009401F5">
      <w:pPr>
        <w:pStyle w:val="book-para"/>
      </w:pPr>
      <w:r>
        <w:t xml:space="preserve">In the UK and elsewhere, reducing travel-related emissions is vital in moving towards a more sustainable, lower-carbon society. In England between 2008 and 2011, the government invested over </w:t>
      </w:r>
      <w:r w:rsidRPr="000019DF">
        <w:rPr>
          <w:color w:val="000000"/>
        </w:rPr>
        <w:t>£</w:t>
      </w:r>
      <w:r>
        <w:t xml:space="preserve">43 million in the Cycling Cities and Towns programme, which aimed to get more people cycling </w:t>
      </w:r>
      <w:r>
        <w:rPr>
          <w:noProof/>
        </w:rPr>
        <w:t>(Redfern 2011)</w:t>
      </w:r>
      <w:r w:rsidRPr="005A146B">
        <w:t>. Char</w:t>
      </w:r>
      <w:r>
        <w:t xml:space="preserve">itable </w:t>
      </w:r>
      <w:r>
        <w:lastRenderedPageBreak/>
        <w:t xml:space="preserve">organizations such as the Ramblers and World Wildlife Fund Canada have similarly headed campaigns that encourage people to engage in short-term experiments with sustainable modes of transport, in order to spark long-term changes </w:t>
      </w:r>
      <w:r>
        <w:rPr>
          <w:noProof/>
        </w:rPr>
        <w:t>(Get walking keep walking 2009; World Wildlife Fund Canada living planet community: pin it for the planet)</w:t>
      </w:r>
      <w:r>
        <w:t xml:space="preserve">. While such campaigns have had limited success </w:t>
      </w:r>
      <w:r>
        <w:rPr>
          <w:noProof/>
        </w:rPr>
        <w:t>(e.g. Sloman et al. 2010)</w:t>
      </w:r>
      <w:r>
        <w:t>, they are typically grounded in a particular view of travel. This is one in which travel is taken to be an outcome of individual choice. Changing people’s choices is seen as the best means of reducing travel-related emissions.</w:t>
      </w:r>
    </w:p>
    <w:p w:rsidR="009D07CE" w:rsidRDefault="009D07CE" w:rsidP="009401F5">
      <w:pPr>
        <w:pStyle w:val="book-para"/>
      </w:pPr>
      <w:r>
        <w:t xml:space="preserve">What such approaches fail to recognize is that patterns of contemporary travel are influenced not only by people, but crucially by the practices in which they participate. In other words, destinations and journeys are not arbitrary, nor are they simply expressions of choice: as argued here, they are better understood as outcomes of the specific ordering and organisation of practices. Developing understandings of the links between practices and the movement of people is therefore important for on-going attempts to manage patterns of mobility and reduce the carbon emissions associated with them. </w:t>
      </w:r>
    </w:p>
    <w:p w:rsidR="009D07CE" w:rsidRDefault="009D07CE" w:rsidP="009401F5">
      <w:pPr>
        <w:pStyle w:val="book-para"/>
      </w:pPr>
      <w:r>
        <w:t xml:space="preserve">This approach to explaining travel has a number of distinctive features. Firstly, it foregrounds practices over individuals and, by doing so, acknowledges how travel patterns are shared and collectively enacted. It was not just David Roche who visited India for Jois’ birthday – he was joined by hundreds of members of the global Ashtanga yoga community. Yoga is special in this way: similar trips to celebrate the birthday of a famous skier or surfer are uncommon. The shared travel within practices is therefore worth consideration. Secondly, such an approach recognises that people’s activities are intertwined with objects and knowledge. As elaborated in the next section, practices are not only about people. Finally, focusing upon practices as analytical units brings an additional </w:t>
      </w:r>
      <w:proofErr w:type="spellStart"/>
      <w:r>
        <w:t>spatio</w:t>
      </w:r>
      <w:proofErr w:type="spellEnd"/>
      <w:r>
        <w:t xml:space="preserve">-temporal dimension into considerations of contemporary travel. Tracing where and when people travel has been a concern in many discussions of sustainability. Treating practices like Ashtanga yoga as units of study forces us to go further, asking how the practices themselves, and their circulation, has changed over space and time. </w:t>
      </w:r>
    </w:p>
    <w:p w:rsidR="009D07CE" w:rsidRDefault="009D07CE" w:rsidP="009401F5">
      <w:pPr>
        <w:pStyle w:val="book-para"/>
      </w:pPr>
      <w:r>
        <w:t>This chapter draws on two case studies, of Ashtanga yoga</w:t>
      </w:r>
      <w:r>
        <w:rPr>
          <w:rStyle w:val="EndnoteReference"/>
        </w:rPr>
        <w:endnoteReference w:id="1"/>
      </w:r>
      <w:r>
        <w:t xml:space="preserve"> and leisure walking, to argue that the circulation of social practices mediates the movement of </w:t>
      </w:r>
      <w:r>
        <w:lastRenderedPageBreak/>
        <w:t>people. To put this point more concretely, it suggests that how David Roche ended up at a birthday party is connected to how Ashtanga yoga spread from India to the rest of the world.</w:t>
      </w:r>
    </w:p>
    <w:p w:rsidR="009D07CE" w:rsidRDefault="009D07CE" w:rsidP="009401F5">
      <w:pPr>
        <w:pStyle w:val="book-para"/>
      </w:pPr>
      <w:r>
        <w:t xml:space="preserve">Ashtanga yoga and leisure walking both have longstanding and global histories – a feature which facilitates consideration of their circulation to new spaces over time. Unlike surfing, which requires one of a limited number of aquatic settings, Ashtanga yoga and leisure walking can occur in different landscapes and locations. The possible spaces for performing are therefore more numerous than for other practices. Within this flexible and voluntary context, the enactment of distinct and collective travel patterns is especially relevant. In addition, the ambivalent contributions of these practices to travel-related carbon dioxide emissions – both have the potential to be either higher or lower impact – makes them particularly instructive cases. </w:t>
      </w:r>
    </w:p>
    <w:p w:rsidR="009D07CE" w:rsidRDefault="009D07CE" w:rsidP="009401F5">
      <w:pPr>
        <w:pStyle w:val="book-para"/>
      </w:pPr>
      <w:r>
        <w:t>Before getting into the detail of these cases, the next section introduces and defines the concepts of practices, movement and circulation. The following section uses these concepts to illustrate how the increasing circulation of Ashtanga yoga over time was related to specific patterns of movement. By comparing this case with leisure walking, the third section shows how different patterns of movement come to matter in diverse practices. Finally, the chapter ends by considering the implications of circulation for efforts to address the resource intensity of different practices.</w:t>
      </w:r>
    </w:p>
    <w:p w:rsidR="009D07CE" w:rsidRDefault="009D07CE" w:rsidP="009401F5">
      <w:pPr>
        <w:spacing w:line="276" w:lineRule="auto"/>
      </w:pPr>
    </w:p>
    <w:p w:rsidR="009D07CE" w:rsidRPr="007F0859" w:rsidRDefault="009D07CE" w:rsidP="009401F5">
      <w:pPr>
        <w:pStyle w:val="book-subhead"/>
      </w:pPr>
      <w:r>
        <w:t>Practices, movement and circulation</w:t>
      </w:r>
    </w:p>
    <w:p w:rsidR="009D07CE" w:rsidRDefault="009D07CE" w:rsidP="009401F5">
      <w:pPr>
        <w:pStyle w:val="book-para"/>
      </w:pPr>
      <w:r>
        <w:t xml:space="preserve">In everyday use, the term ‘practice’ is widely associated with what people do – indeed, it often communicates a general understanding of human activity. Theories of practice, however, are concerned not only with what </w:t>
      </w:r>
      <w:r w:rsidRPr="00AD3F80">
        <w:rPr>
          <w:i/>
        </w:rPr>
        <w:t>people</w:t>
      </w:r>
      <w:r>
        <w:t xml:space="preserve"> do, but also with what </w:t>
      </w:r>
      <w:r w:rsidRPr="00AD3F80">
        <w:rPr>
          <w:i/>
        </w:rPr>
        <w:t>practices</w:t>
      </w:r>
      <w:r>
        <w:t xml:space="preserve"> do. Bourdieu and Giddens, for instance, see practices as themselves generative – enacting through their repetition the structures of societies </w:t>
      </w:r>
      <w:r>
        <w:rPr>
          <w:noProof/>
        </w:rPr>
        <w:t>(Bourdieu 1977, 1990; Giddens 1979, 1984)</w:t>
      </w:r>
      <w:r>
        <w:t xml:space="preserve">. This basic theoretical position, which has been taken up by subsequent scholars, leads to a methodological emphasis upon practices as the key units of study for social analysis. </w:t>
      </w:r>
    </w:p>
    <w:p w:rsidR="009D07CE" w:rsidRPr="00F946D0" w:rsidRDefault="009D07CE" w:rsidP="009401F5">
      <w:pPr>
        <w:pStyle w:val="book-para"/>
      </w:pPr>
      <w:r>
        <w:lastRenderedPageBreak/>
        <w:t xml:space="preserve">A practice can be seen as ‘a routinized type of behaviour’ </w:t>
      </w:r>
      <w:r>
        <w:rPr>
          <w:noProof/>
        </w:rPr>
        <w:t>(Reckwitz 2002: 249)</w:t>
      </w:r>
      <w:r>
        <w:t>. What distinguishes one practice from another is ‘</w:t>
      </w:r>
      <w:r>
        <w:rPr>
          <w:rFonts w:eastAsiaTheme="minorEastAsia"/>
          <w:color w:val="000000"/>
          <w:lang w:val="en-US"/>
        </w:rPr>
        <w:t xml:space="preserve">the distinctiveness of the </w:t>
      </w:r>
      <w:r w:rsidRPr="00370AA8">
        <w:rPr>
          <w:rFonts w:ascii="Times" w:eastAsiaTheme="minorEastAsia" w:hAnsi="Times" w:cs="Times"/>
          <w:i/>
          <w:color w:val="000000"/>
          <w:lang w:val="en-US"/>
        </w:rPr>
        <w:t>package</w:t>
      </w:r>
      <w:r>
        <w:rPr>
          <w:rFonts w:ascii="Times" w:eastAsiaTheme="minorEastAsia" w:hAnsi="Times" w:cs="Times"/>
          <w:color w:val="000000"/>
          <w:lang w:val="en-US"/>
        </w:rPr>
        <w:t xml:space="preserve"> </w:t>
      </w:r>
      <w:r>
        <w:rPr>
          <w:rFonts w:eastAsiaTheme="minorEastAsia"/>
          <w:color w:val="000000"/>
          <w:lang w:val="en-US"/>
        </w:rPr>
        <w:t xml:space="preserve">of doings and sayings plus organization that each is’ </w:t>
      </w:r>
      <w:r>
        <w:rPr>
          <w:rFonts w:eastAsiaTheme="minorEastAsia"/>
          <w:noProof/>
          <w:color w:val="000000"/>
          <w:lang w:val="en-US"/>
        </w:rPr>
        <w:t>(Schatzki 2002: 87)</w:t>
      </w:r>
      <w:r>
        <w:rPr>
          <w:rFonts w:eastAsiaTheme="minorEastAsia"/>
          <w:color w:val="000000"/>
          <w:lang w:val="en-US"/>
        </w:rPr>
        <w:t xml:space="preserve">. Practices can be understood in two ways – as performances that people enact in one time-space, and as entities that consist of the performances of many people in diverse time-spaces </w:t>
      </w:r>
      <w:r>
        <w:rPr>
          <w:noProof/>
        </w:rPr>
        <w:t>(Schatzki 1996: 89; Shove &amp; Pantzar 2007: 154)</w:t>
      </w:r>
      <w:r>
        <w:t xml:space="preserve">. Each time one person performs a practice, she reproduces its ‘pattern’ using ‘a multitude of single and often unique actions’ </w:t>
      </w:r>
      <w:r>
        <w:rPr>
          <w:noProof/>
        </w:rPr>
        <w:t>(Reckwitz 2002: 250)</w:t>
      </w:r>
      <w:r>
        <w:t>. The total set of these reproductions makes up the practice-as-entity. Both Ashtanga yoga and leisure walking are entities in this sense, because they consist of recognizable collections of performances in multiple time-spaces.</w:t>
      </w:r>
      <w:r>
        <w:rPr>
          <w:rStyle w:val="EndnoteReference"/>
        </w:rPr>
        <w:endnoteReference w:id="2"/>
      </w:r>
    </w:p>
    <w:p w:rsidR="009D07CE" w:rsidRDefault="009D07CE" w:rsidP="009401F5">
      <w:pPr>
        <w:pStyle w:val="book-para"/>
      </w:pPr>
      <w:r>
        <w:rPr>
          <w:lang w:val="en-US"/>
        </w:rPr>
        <w:t>In</w:t>
      </w:r>
      <w:r>
        <w:t xml:space="preserve"> order to perform, people must draw upon shared elements, which differ between practices. Within a practice, the vocabulary of elements includes: </w:t>
      </w:r>
    </w:p>
    <w:p w:rsidR="009D07CE" w:rsidRDefault="009D07CE" w:rsidP="009401F5">
      <w:pPr>
        <w:pStyle w:val="book-quote"/>
      </w:pPr>
      <w:r>
        <w:t xml:space="preserve">forms of bodily activities, forms of mental activities, ‘things’ and their use, a background knowledge in the form of understanding, know-how, states of emotion and motivational knowledge </w:t>
      </w:r>
      <w:r>
        <w:rPr>
          <w:noProof/>
        </w:rPr>
        <w:t>(Reckwitz 2002: 249).</w:t>
      </w:r>
      <w:r>
        <w:t xml:space="preserve"> </w:t>
      </w:r>
    </w:p>
    <w:p w:rsidR="009D07CE" w:rsidRDefault="009D07CE" w:rsidP="009401F5">
      <w:pPr>
        <w:pStyle w:val="book-para"/>
      </w:pPr>
      <w:r>
        <w:t>Ashtanga yoga, for instance, includes elements such as yoga mats, knowledge of yoga postures, embodied know-how for enacting these postures, and motivations of calming the mind and stretching the body. Leisure walking, by contrast, often involves hiking boots, remembering to check the weather forecast, knowing how to read a compass or map, and an appreciation of nature. Each time people perform these practices, they bring together some or all of the elements. Practices exist because of this coming together of people and distinct sets of elements.</w:t>
      </w:r>
    </w:p>
    <w:p w:rsidR="009D07CE" w:rsidRDefault="009D07CE" w:rsidP="009401F5">
      <w:pPr>
        <w:pStyle w:val="book-para"/>
      </w:pPr>
      <w:r>
        <w:t xml:space="preserve">In order to illustrate how these concepts relate to travel, additional distinctions are needed. While ‘travel’ can be used as a general term for displacement, the more specific concepts of ‘circulation’ and ‘movement’ are required to distinguish between the travel related to practices, elements and people. </w:t>
      </w:r>
    </w:p>
    <w:p w:rsidR="009D07CE" w:rsidRDefault="009D07CE" w:rsidP="009401F5">
      <w:pPr>
        <w:pStyle w:val="book-para"/>
      </w:pPr>
      <w:r>
        <w:t xml:space="preserve">The travel related to practice entities can be understood in terms of ‘circulation’. Each practice entity is made up of many performances distributed in time and space, and the expansion and contraction of performances indicates the </w:t>
      </w:r>
      <w:r>
        <w:lastRenderedPageBreak/>
        <w:t xml:space="preserve">circulation of the practice entity. This circulation has two aspects – for one, it involves changes in the number of performances. When a practice is performed more frequently or by more people, its circulation increases, and when it is performed less frequently or by fewer people, it decreases. Circulation simultaneously involves changes in the spatial distribution of performances. The marked increase in yoga’s circulation over the last century involved its spread beyond India </w:t>
      </w:r>
      <w:r>
        <w:rPr>
          <w:noProof/>
        </w:rPr>
        <w:t>(see Strauss 2005)</w:t>
      </w:r>
      <w:r>
        <w:t>, while the falling circulation of games like marbles and jacks have led performances to occur in fewer spaces. In this way, speaking of the circulation of practice entities highlights the expansion or contraction, in number and distribution, of performances over time.</w:t>
      </w:r>
    </w:p>
    <w:p w:rsidR="009D07CE" w:rsidRDefault="009D07CE" w:rsidP="009401F5">
      <w:pPr>
        <w:pStyle w:val="book-para"/>
      </w:pPr>
      <w:r>
        <w:t xml:space="preserve">While circulation refers to the changing spatiality of the practice entity, the concept of movement can be used to isolate single trips of people and objects. Movement refers to the displacement of something in objective space </w:t>
      </w:r>
      <w:r>
        <w:rPr>
          <w:noProof/>
        </w:rPr>
        <w:t>(Cresswell 2006: 3)</w:t>
      </w:r>
      <w:r>
        <w:t>. One yoga practitioner, such as David Roche, moves through certain spaces over time. His yoga mat has its own movements, which are both related and unrelated to his. Though the movements of different entities can be compared or amassed, movement is a characteristic of single units – in particular people and materials. Circulation, by contrast, cannot be disaggregated from its collective entity – a practice.</w:t>
      </w:r>
    </w:p>
    <w:p w:rsidR="009D07CE" w:rsidRDefault="009D07CE" w:rsidP="009401F5">
      <w:pPr>
        <w:pStyle w:val="book-para"/>
      </w:pPr>
      <w:r>
        <w:t xml:space="preserve">How then are the circulation of practices and the movement of people and elements interlinked? In order to perform a practice, and contribute to its circulation, people must amass the appropriate elements, and this often requires movement to buy things or learn skills. Elements themselves also move – yoga mats are made in factories and shipped to stores before being carried to classes. In order to explain how people and elements come to be in various places though, the relationship between circulation and movement needs to be considered further. </w:t>
      </w:r>
    </w:p>
    <w:p w:rsidR="009D07CE" w:rsidRDefault="009D07CE" w:rsidP="009401F5">
      <w:pPr>
        <w:pStyle w:val="book-para"/>
      </w:pPr>
      <w:r>
        <w:t xml:space="preserve">When discussing the </w:t>
      </w:r>
      <w:proofErr w:type="spellStart"/>
      <w:r>
        <w:t>timespace</w:t>
      </w:r>
      <w:proofErr w:type="spellEnd"/>
      <w:r>
        <w:t xml:space="preserve"> of human activity, Schatzki suggests that the past organization of practices ‘circumscribes contemporary activities’ because it provides a normative environment that people generally uphold </w:t>
      </w:r>
      <w:r>
        <w:rPr>
          <w:noProof/>
        </w:rPr>
        <w:t>(2010: 214, 211)</w:t>
      </w:r>
      <w:r>
        <w:t xml:space="preserve">. Think for instance of places where there are rules against smoking in restaurants. The fact that previous patrons complied with this rule constrains current patrons, by making censure, or requests to leave, both likely and acceptable consequences of breaking the rule. Past performances therefore </w:t>
      </w:r>
      <w:r>
        <w:lastRenderedPageBreak/>
        <w:t>serve as a model that establishes precedents and delineates the implications and meanings of present performances.</w:t>
      </w:r>
    </w:p>
    <w:p w:rsidR="009D07CE" w:rsidRDefault="009D07CE" w:rsidP="009401F5">
      <w:pPr>
        <w:pStyle w:val="book-para"/>
      </w:pPr>
      <w:r>
        <w:t xml:space="preserve">A similar point can be made about the relationship between the circulation of practices and the movement of people and elements. The past circulation of a practice mediates contemporary movements of people and elements. The spatial distribution of performances in the past affects accessibility to elements in the present. Think for instance of collecting the elements of skiing. If you wanted to buy ski boots or find a teacher, visiting a large city in the tropics would be less successful than visiting a ski resort. While online commerce has shifted geographies of retail, elements of practice are more likely to be found near the people or spaces linked to past performances. The movement of elements can in this way become patterned and normalized, indicating the likely geographies of continued availability. </w:t>
      </w:r>
    </w:p>
    <w:p w:rsidR="009D07CE" w:rsidRDefault="009D07CE" w:rsidP="009401F5">
      <w:pPr>
        <w:pStyle w:val="book-para"/>
      </w:pPr>
      <w:r>
        <w:t xml:space="preserve">The following sections expand upon this point, demonstrating how specific types of movement become normalized and reproduced in Ashtanga yoga and leisure walking. They argue that movements of people and elements 1) are influenced by the context-specific circulation of practices and 2) reinforce practice-specific meanings and goals. </w:t>
      </w:r>
    </w:p>
    <w:p w:rsidR="009D07CE" w:rsidRDefault="009D07CE" w:rsidP="009401F5">
      <w:pPr>
        <w:pStyle w:val="book-para"/>
      </w:pPr>
      <w:r>
        <w:t xml:space="preserve">The discussion focuses on the expanding circulation of these practice entities from spatially limited beginnings to popular global pursuits. This focus obviously leaves out other important issues such as the contraction or fluctuation of practice entities at particular moments. Looking at expansion, however, provides an opportunity to explore the development of practice-specific patterns of movement, as well as links between circulation and movement. </w:t>
      </w:r>
    </w:p>
    <w:p w:rsidR="009D07CE" w:rsidRDefault="009D07CE" w:rsidP="009401F5">
      <w:pPr>
        <w:spacing w:line="276" w:lineRule="auto"/>
      </w:pPr>
    </w:p>
    <w:p w:rsidR="009D07CE" w:rsidRDefault="009D07CE" w:rsidP="009401F5">
      <w:pPr>
        <w:pStyle w:val="book-subhead"/>
      </w:pPr>
      <w:r>
        <w:t>Ashtanga yoga: Mysore and beyond</w:t>
      </w:r>
    </w:p>
    <w:p w:rsidR="009D07CE" w:rsidRDefault="009D07CE" w:rsidP="009401F5">
      <w:pPr>
        <w:pStyle w:val="book-para"/>
      </w:pPr>
      <w:r>
        <w:t xml:space="preserve">Today, Ashtanga yoga is a global practice. The website Ashtanga.com, for instance, lists upcoming workshops in over forty countries around the world, from Chile to Bhutan to Russia to Japan </w:t>
      </w:r>
      <w:r>
        <w:rPr>
          <w:noProof/>
        </w:rPr>
        <w:t>(Ashtanga yoga workshops 2011)</w:t>
      </w:r>
      <w:r>
        <w:t xml:space="preserve">. Forty years ago, however, Ashtanga yoga was only performed in India. Though this expansion could be narrated in many ways, the stories of circulation told by </w:t>
      </w:r>
      <w:r>
        <w:lastRenderedPageBreak/>
        <w:t xml:space="preserve">practitioners foreground the importance of people’s movement </w:t>
      </w:r>
      <w:r>
        <w:rPr>
          <w:noProof/>
        </w:rPr>
        <w:t>(Donahaye &amp; Stern 2010; Jois 2002; Ryan 2009; Williams 2009a)</w:t>
      </w:r>
      <w:r>
        <w:t>. They go something like this:</w:t>
      </w:r>
    </w:p>
    <w:p w:rsidR="009D07CE" w:rsidRDefault="009D07CE" w:rsidP="009401F5">
      <w:pPr>
        <w:spacing w:line="276" w:lineRule="auto"/>
      </w:pPr>
    </w:p>
    <w:p w:rsidR="009D07CE" w:rsidRDefault="009D07CE" w:rsidP="009401F5">
      <w:pPr>
        <w:pStyle w:val="book-para"/>
      </w:pPr>
      <w:r>
        <w:t xml:space="preserve">Even in the 1920s, yogis travelled. Yogi </w:t>
      </w:r>
      <w:proofErr w:type="spellStart"/>
      <w:r>
        <w:t>Krishnamacharya</w:t>
      </w:r>
      <w:proofErr w:type="spellEnd"/>
      <w:r>
        <w:t xml:space="preserve"> was moving through India in 1927, demonstrating and lecturing on yoga, when he encountered Shri K. Pattabhi Jois. Jois, who was only twelve at the time, was so inspired that he immediately asked to study with the older man. </w:t>
      </w:r>
      <w:proofErr w:type="spellStart"/>
      <w:r>
        <w:t>Krishnamacharya</w:t>
      </w:r>
      <w:proofErr w:type="spellEnd"/>
      <w:r>
        <w:t xml:space="preserve"> accepted him as a student and in 1930 Jois became a travelling yogi, moving to Mysore to continue his study. In 1948, he made Mysore a more permanent home for Ashtanga yoga by establishing the Ashtanga Yoga Research Institute.</w:t>
      </w:r>
    </w:p>
    <w:p w:rsidR="009D07CE" w:rsidRDefault="009D07CE" w:rsidP="009401F5">
      <w:pPr>
        <w:pStyle w:val="book-para"/>
      </w:pPr>
      <w:r>
        <w:t xml:space="preserve">Several decades later, it was </w:t>
      </w:r>
      <w:proofErr w:type="spellStart"/>
      <w:r>
        <w:t>Jois</w:t>
      </w:r>
      <w:proofErr w:type="spellEnd"/>
      <w:r>
        <w:t xml:space="preserve">’ son Manju who was the travelling yogi, visiting </w:t>
      </w:r>
      <w:proofErr w:type="spellStart"/>
      <w:r>
        <w:t>Ponticherry</w:t>
      </w:r>
      <w:proofErr w:type="spellEnd"/>
      <w:r>
        <w:t xml:space="preserve"> in 1972 to give a demonstration of his father’s Ashtanga yoga system. A young American named David Williams was in the audience that day, having come to India in search of the greatest yogi. Captivated by what he saw, he became determined to study with Jois. His search therefore took him to Mysore for four months in 1973, after which he returned to California and began teaching the first international classes in Ashtanga yoga. </w:t>
      </w:r>
    </w:p>
    <w:p w:rsidR="009D07CE" w:rsidRDefault="009D07CE" w:rsidP="009401F5">
      <w:pPr>
        <w:pStyle w:val="book-para"/>
      </w:pPr>
      <w:r>
        <w:t xml:space="preserve">Conventional accounts go on to describe Jois’ first trip to America in 1975. Jois visited with his son Manju, and after teaching together for several months Manju decided not to return to India with his father. Instead, he continued teaching in California, which allowed Williams to move to Hawaii and extend the circulation of Ashtanga even further. These three bases of Mysore, California and Hawaii subsequently became destinations for a new generation of yogis, including David Swenson and Danny Paradise, who have produced instructional videos and taught hundreds of students, including celebrities such as Sting and Madonna </w:t>
      </w:r>
      <w:r>
        <w:rPr>
          <w:noProof/>
        </w:rPr>
        <w:t>(Naddermier 2010; White 1995; Williams 2009b)</w:t>
      </w:r>
      <w:r>
        <w:t xml:space="preserve">. </w:t>
      </w:r>
    </w:p>
    <w:p w:rsidR="009D07CE" w:rsidRDefault="009D07CE" w:rsidP="009401F5">
      <w:pPr>
        <w:pStyle w:val="book-para"/>
      </w:pPr>
      <w:r>
        <w:t xml:space="preserve">These few details provide a basic narrative of how </w:t>
      </w:r>
      <w:proofErr w:type="spellStart"/>
      <w:r>
        <w:t>Ashtanga’s</w:t>
      </w:r>
      <w:proofErr w:type="spellEnd"/>
      <w:r>
        <w:t xml:space="preserve"> circulation expanded – how more people came to perform the practice in more spaces, leading eventually to the global dispersion found today. To understand how </w:t>
      </w:r>
      <w:proofErr w:type="spellStart"/>
      <w:r>
        <w:t>Ashtanga’s</w:t>
      </w:r>
      <w:proofErr w:type="spellEnd"/>
      <w:r>
        <w:t xml:space="preserve"> circulation mediates the movement of both people and elements, however, one needs to look further into the past. One needs to consider how yoga, and its requisite elements, circulated even before Ashtanga </w:t>
      </w:r>
      <w:proofErr w:type="gramStart"/>
      <w:r>
        <w:t>was</w:t>
      </w:r>
      <w:proofErr w:type="gramEnd"/>
      <w:r>
        <w:t xml:space="preserve"> </w:t>
      </w:r>
      <w:r>
        <w:lastRenderedPageBreak/>
        <w:t xml:space="preserve">developed. </w:t>
      </w:r>
    </w:p>
    <w:p w:rsidR="009D07CE" w:rsidRDefault="009D07CE" w:rsidP="009401F5">
      <w:pPr>
        <w:pStyle w:val="book-para"/>
      </w:pPr>
      <w:r>
        <w:t xml:space="preserve">For thousands of years, yoga has been taught through guru-disciple relationships. In the early Vedic period (ca. 1200-900 BCE), young boys would spend years memorizing knowledge transmitted orally by a teacher </w:t>
      </w:r>
      <w:r>
        <w:rPr>
          <w:noProof/>
        </w:rPr>
        <w:t>(Whicher 1998: 35-6)</w:t>
      </w:r>
      <w:r>
        <w:t>. Students would then grow up to be gurus, who would teach others:</w:t>
      </w:r>
    </w:p>
    <w:p w:rsidR="009D07CE" w:rsidRDefault="009D07CE" w:rsidP="009401F5">
      <w:pPr>
        <w:pStyle w:val="book-quote"/>
      </w:pPr>
      <w:r>
        <w:t xml:space="preserve">So it has been proceeding for an unknown number of centuries in India, for at least three millennia in the longest unbroken apostolic succession anywhere in the world. The </w:t>
      </w:r>
      <w:r>
        <w:rPr>
          <w:i/>
        </w:rPr>
        <w:t>Upanishads</w:t>
      </w:r>
      <w:r>
        <w:t xml:space="preserve"> are nearly that old, and they contain lists of gurus who were taught by gurus, back to the beginnings of Hindu time. </w:t>
      </w:r>
      <w:r>
        <w:rPr>
          <w:noProof/>
        </w:rPr>
        <w:t>(McArthur 1986: 109)</w:t>
      </w:r>
    </w:p>
    <w:p w:rsidR="009D07CE" w:rsidRDefault="009D07CE" w:rsidP="009401F5">
      <w:pPr>
        <w:pStyle w:val="book-para"/>
      </w:pPr>
      <w:r>
        <w:t xml:space="preserve">This tradition of teaching within India was reproduced so consistently that it arguably became ‘a self-evident fact that no Hindu would dream of questioning’ </w:t>
      </w:r>
      <w:r>
        <w:rPr>
          <w:noProof/>
        </w:rPr>
        <w:t>(Varenne 1976: 93)</w:t>
      </w:r>
      <w:r>
        <w:t xml:space="preserve">. To learn yoga was to be a disciple. The weight of this tradition informs Jois’ repeated assertion </w:t>
      </w:r>
      <w:r w:rsidRPr="00162F9C">
        <w:t>of</w:t>
      </w:r>
      <w:r>
        <w:t xml:space="preserve"> the need to study under a guru: ‘Yoga should never be learned from reading books or looking at pictures. It should only be learned under the guidance of a Guru who knows the yogic science and is experienced in its practice’ </w:t>
      </w:r>
      <w:r>
        <w:rPr>
          <w:noProof/>
        </w:rPr>
        <w:t>(Jois 2002: 28, see also 20, 59, 63, 65, 77)</w:t>
      </w:r>
      <w:r>
        <w:t xml:space="preserve">. This system of apprenticeship and discipleship, however, comes with specific consequences for movement. Discipleship depends on co-presence; to maintain guru-student patterns of learning, people must travel. </w:t>
      </w:r>
    </w:p>
    <w:p w:rsidR="009D07CE" w:rsidRDefault="009D07CE" w:rsidP="009401F5">
      <w:pPr>
        <w:pStyle w:val="book-para"/>
      </w:pPr>
      <w:r>
        <w:t xml:space="preserve">In the case of Ashtanga, reproducing this tradition of discipleship was initially unavoidable. While today there are books and DVDs through which one can access the elements of Ashtanga yoga, it was not until 1999 that Jois’ only book was translated into English </w:t>
      </w:r>
      <w:r>
        <w:rPr>
          <w:noProof/>
        </w:rPr>
        <w:t>(Jois 2002)</w:t>
      </w:r>
      <w:r>
        <w:t xml:space="preserve">. Therefore, though English print media helped significantly in the circulation of other yoga teachings </w:t>
      </w:r>
      <w:r>
        <w:rPr>
          <w:noProof/>
        </w:rPr>
        <w:t>(Strauss 2005: 40-3)</w:t>
      </w:r>
      <w:r>
        <w:t xml:space="preserve">, Ashtanga yoga remained dependent upon traditional guru-disciple relationships. The activities, skills and knowledge of Ashtanga yoga could only move beyond India with people, and so where teachers went and who they taught became vitally important for the expansion of the practice entity. </w:t>
      </w:r>
    </w:p>
    <w:p w:rsidR="009D07CE" w:rsidRDefault="009D07CE" w:rsidP="009401F5">
      <w:pPr>
        <w:pStyle w:val="book-para"/>
      </w:pPr>
      <w:r>
        <w:t xml:space="preserve">Though some contemporary participants do not follow guru traditions, the stories that narrate the circulation of Ashtanga yoga continue to reinforce an </w:t>
      </w:r>
      <w:r>
        <w:lastRenderedPageBreak/>
        <w:t xml:space="preserve">idea of </w:t>
      </w:r>
      <w:r w:rsidRPr="009C744C">
        <w:t>how</w:t>
      </w:r>
      <w:r>
        <w:t xml:space="preserve"> Ashtanga should expand, thus normalizing the movement of people. Further, to maintain these guru traditions, the independent movement of resources such as books is delegitimized: ‘Can a book replace the guru, the master? </w:t>
      </w:r>
      <w:proofErr w:type="gramStart"/>
      <w:r>
        <w:t xml:space="preserve">Not completely, of course’ </w:t>
      </w:r>
      <w:r>
        <w:rPr>
          <w:noProof/>
        </w:rPr>
        <w:t>(Svatmarama &amp; Rieker 1992: 14)</w:t>
      </w:r>
      <w:r>
        <w:t>.</w:t>
      </w:r>
      <w:proofErr w:type="gramEnd"/>
      <w:r>
        <w:t xml:space="preserve"> The guru tradition promotes the transmission of knowledge, while also limiting it through the stipulation that elements, especially of skill, should move in tandem with people. </w:t>
      </w:r>
    </w:p>
    <w:p w:rsidR="009D07CE" w:rsidRDefault="009D07CE" w:rsidP="009401F5">
      <w:pPr>
        <w:pStyle w:val="book-para"/>
      </w:pPr>
      <w:r>
        <w:t xml:space="preserve">Therefore people’s movement continues. Among senior students and teachers </w:t>
      </w:r>
      <w:r>
        <w:rPr>
          <w:lang w:val="en-US"/>
        </w:rPr>
        <w:t xml:space="preserve">travel remains an important marker of devotion to a guru and to the practice </w:t>
      </w:r>
      <w:r>
        <w:rPr>
          <w:noProof/>
          <w:lang w:val="en-US"/>
        </w:rPr>
        <w:t>(Smith 2004: 8)</w:t>
      </w:r>
      <w:r>
        <w:rPr>
          <w:lang w:val="en-US"/>
        </w:rPr>
        <w:t>.</w:t>
      </w:r>
      <w:r w:rsidRPr="00E84DD1">
        <w:t xml:space="preserve"> </w:t>
      </w:r>
      <w:r>
        <w:t>S</w:t>
      </w:r>
      <w:r w:rsidRPr="000F0860">
        <w:t xml:space="preserve">tudents </w:t>
      </w:r>
      <w:r>
        <w:t xml:space="preserve">still </w:t>
      </w:r>
      <w:r w:rsidRPr="000F0860">
        <w:t>flock to Mysore in order to further their skills</w:t>
      </w:r>
      <w:r>
        <w:t xml:space="preserve"> because others have done so before them: ‘</w:t>
      </w:r>
      <w:r w:rsidRPr="000F0860">
        <w:t>Mysore to an Ashtanga practitioner is like Hawaii is to a surfer. It is the source. It is where all the most serious Ashtanga</w:t>
      </w:r>
      <w:r>
        <w:t xml:space="preserve"> yoga practitioners have learnt’</w:t>
      </w:r>
      <w:r w:rsidRPr="000F0860">
        <w:t xml:space="preserve"> </w:t>
      </w:r>
      <w:r w:rsidRPr="000F0860">
        <w:rPr>
          <w:noProof/>
        </w:rPr>
        <w:t>(Brundell)</w:t>
      </w:r>
      <w:r w:rsidRPr="000F0860">
        <w:t>.</w:t>
      </w:r>
      <w:r>
        <w:t xml:space="preserve"> This movement is actively encouraged by the Ashtanga Yoga Research Institute, which is now called the Shri K. Pattabhi Jois Ashtanga Yoga Institute (KPJAYI). As the only organization giving official teacher certification, it requires teachers to ‘study regularly at the KPJAYI’, and during 2008 and 2009 even specified that top level instructors were to make eight annual trips </w:t>
      </w:r>
      <w:r>
        <w:rPr>
          <w:noProof/>
          <w:lang w:val="en-US"/>
        </w:rPr>
        <w:t>(Shri K Pattabhi Jois Ashtanga Yoga Institute: teachers; Teachers Information: Shri K. Pattabhi Jois Ashtanga Yoga Institute 2009)</w:t>
      </w:r>
      <w:r>
        <w:t>. In order t</w:t>
      </w:r>
      <w:r>
        <w:rPr>
          <w:lang w:val="en-US"/>
        </w:rPr>
        <w:t>o be a true enthusiast of Ashtanga, one must seek out opportunities for co-presence with gurus. Thus, though Ashtanga can be performed in a variety of spaces, its circulation reinforces the aphorism on David Roche’s website – have yoga, will travel.</w:t>
      </w:r>
    </w:p>
    <w:p w:rsidR="009401F5" w:rsidRDefault="009D07CE" w:rsidP="009401F5">
      <w:pPr>
        <w:pStyle w:val="book-para"/>
      </w:pPr>
      <w:r>
        <w:t xml:space="preserve">In order to demonstrate that this mediation of personal movements by practices is not particular to Ashtanga yoga, the next section looks at the case of leisure walking. As it shows, where and how people and elements move is similarly structured by the circulation of the practice entity, but in ways that encourage very different patterns of travel. </w:t>
      </w:r>
    </w:p>
    <w:p w:rsidR="009D07CE" w:rsidRPr="00F76CC3" w:rsidRDefault="009D07CE" w:rsidP="009401F5">
      <w:pPr>
        <w:pStyle w:val="book-subhead"/>
      </w:pPr>
      <w:r w:rsidRPr="00F76CC3">
        <w:t>Leisure walking</w:t>
      </w:r>
      <w:r>
        <w:t xml:space="preserve"> on the move</w:t>
      </w:r>
    </w:p>
    <w:p w:rsidR="009D07CE" w:rsidRDefault="009D07CE" w:rsidP="009401F5">
      <w:pPr>
        <w:pStyle w:val="book-para"/>
      </w:pPr>
      <w:r>
        <w:t xml:space="preserve">At first glance, it might appear that the circulation of Ashtanga yoga and leisure walking are quite similar. Both developed from older practices – hatha yoga and walking as transportation – and grew from an initially small group of </w:t>
      </w:r>
      <w:r>
        <w:lastRenderedPageBreak/>
        <w:t xml:space="preserve">practitioners to become widespread global activities. In addition, both have been connected to lineages. While Jois is the guru of the Ashtanga tradition, Wordsworth was among those who ‘founded the whole lineage of those who walk for its own sake and for the pleasure of being in the landscape’ </w:t>
      </w:r>
      <w:r>
        <w:rPr>
          <w:noProof/>
        </w:rPr>
        <w:t>(Solnit 2001: 82)</w:t>
      </w:r>
      <w:r>
        <w:t xml:space="preserve">. Yet looking more closely at how these practices are passed on, it becomes clear that their circulation was supported by different patterns of movement. </w:t>
      </w:r>
    </w:p>
    <w:p w:rsidR="009D07CE" w:rsidRDefault="009D07CE" w:rsidP="009401F5">
      <w:pPr>
        <w:pStyle w:val="book-para"/>
      </w:pPr>
      <w:r>
        <w:t xml:space="preserve">Perhaps Wordsworth was lonely on his birthday. After all, many of those in the lineage he started never met or visited him. He was never a privileged interpreter, directly passing on knowledge about how to walk for pleasure. This is because while walking in the country ‘is beset by conventions about what constitutes “appropriate” bodily conduct, experience and expression’ </w:t>
      </w:r>
      <w:r>
        <w:rPr>
          <w:noProof/>
        </w:rPr>
        <w:t>(Edensor 2000: 82-3)</w:t>
      </w:r>
      <w:r>
        <w:t>, there is little ethical prohibition against learning these from a variety of sources by observation, trial and error. One need not seek out a guru of walking when it is possible to figure it out independently. The lineage Wordsworth headed was therefore never responsible for teaching the embodied activities of walking. His lineage was imagined, not co-present. It did not come with the obligatory personal travel of discipleship.</w:t>
      </w:r>
    </w:p>
    <w:p w:rsidR="009D07CE" w:rsidRDefault="009D07CE" w:rsidP="009401F5">
      <w:pPr>
        <w:pStyle w:val="book-para"/>
      </w:pPr>
      <w:r>
        <w:t xml:space="preserve">Instead, his poems and essays gave the everyday activity of walking new meanings and motivations. In Wordsworth’s hands, walking and wandering are re-defined, invested with notions of return and positive energy that supersede previous ideas about wandering as a dangerous threat to community </w:t>
      </w:r>
      <w:r>
        <w:rPr>
          <w:noProof/>
        </w:rPr>
        <w:t>(Wallace 1993: 120, 122)</w:t>
      </w:r>
      <w:r>
        <w:t>. Even though people did not travel to study with him, books communicating his experiences of walking moved widely, providing easy access to the understandings, emotions and motivations that supported his performances. Books were in a sense able to become a part of the lineage, transmitting elements as they travelled from author to reader.</w:t>
      </w:r>
    </w:p>
    <w:p w:rsidR="009D07CE" w:rsidRDefault="009D07CE" w:rsidP="009401F5">
      <w:pPr>
        <w:pStyle w:val="book-para"/>
      </w:pPr>
      <w:r>
        <w:t xml:space="preserve">It was not only Wordsworth’s books that travelled, since he was one of a number of walking writers. Solnit places Rousseau at the beginning of the series of poets and essayists who frame ‘walking as a conscious cultural act rather than a means to an end’ </w:t>
      </w:r>
      <w:r>
        <w:rPr>
          <w:noProof/>
        </w:rPr>
        <w:t>(2001: 14)</w:t>
      </w:r>
      <w:r>
        <w:t xml:space="preserve">. Though these authors used differing justifications for the value of walking, together they transformed ideas by becoming its advocates </w:t>
      </w:r>
      <w:r>
        <w:rPr>
          <w:noProof/>
        </w:rPr>
        <w:t>(Solnit 2001: 82)</w:t>
      </w:r>
      <w:r w:rsidRPr="00B247B4">
        <w:t>. Wordsworth was central among these writers because walking</w:t>
      </w:r>
      <w:r>
        <w:t xml:space="preserve"> was such an obvious theme in his work, as well as a key part of his daily life and method of composition. Multiple authors in multiple countries, however, </w:t>
      </w:r>
      <w:r>
        <w:lastRenderedPageBreak/>
        <w:t>provided a repertoire of slightly varying understandings of the practice, its goals and its motivations.</w:t>
      </w:r>
    </w:p>
    <w:p w:rsidR="009D07CE" w:rsidRDefault="009D07CE" w:rsidP="009401F5">
      <w:pPr>
        <w:pStyle w:val="book-para"/>
      </w:pPr>
      <w:r>
        <w:t xml:space="preserve">Unlike Ashtanga yoga, the elements of leisure walking originated in many places, and routinely travelled separately, not tied to any one practitioner. As a result, the expansion of leisure walking as a practice entity occurred in a more geographically distributed manner, and without strictly patterned movements of people. </w:t>
      </w:r>
    </w:p>
    <w:p w:rsidR="009D07CE" w:rsidRDefault="009D07CE" w:rsidP="009401F5">
      <w:pPr>
        <w:pStyle w:val="book-para"/>
      </w:pPr>
      <w:r>
        <w:t xml:space="preserve">While people weren’t obliged to visit certain spaces in order to learn, their movement was mediated by writing walkers, who highlighted appropriate spaces for leisure walking. Wordsworth, for instance, lauded the places in which he walked, contributing in particular to the creation of the Lake District as a destination for visitors. As Urry notes, ‘there is nothing obvious or inevitable about why huge numbers of people would voluntarily choose to visit [the Lake District], a place that up to the eighteenth century was seen as the very embodiment of inhospitality’ </w:t>
      </w:r>
      <w:r>
        <w:rPr>
          <w:noProof/>
        </w:rPr>
        <w:t>(1995: 193)</w:t>
      </w:r>
      <w:r>
        <w:t xml:space="preserve">. The writing of Wordsworth, however, championed the virtues of walking in such places, and encouraged visits by depicting the Lake District as an appropriate space to perform the desires and activities of walking </w:t>
      </w:r>
      <w:r>
        <w:rPr>
          <w:noProof/>
        </w:rPr>
        <w:t>(Urry 1995: 200)</w:t>
      </w:r>
      <w:r>
        <w:t xml:space="preserve">. Similarly, Snowdon, </w:t>
      </w:r>
      <w:proofErr w:type="spellStart"/>
      <w:r>
        <w:t>Cader</w:t>
      </w:r>
      <w:proofErr w:type="spellEnd"/>
      <w:r>
        <w:t xml:space="preserve"> Idris and </w:t>
      </w:r>
      <w:proofErr w:type="spellStart"/>
      <w:r>
        <w:t>Plynlimmon</w:t>
      </w:r>
      <w:proofErr w:type="spellEnd"/>
      <w:r>
        <w:t xml:space="preserve"> were all popular ascents in the late eighteenth and early nineteenth century, largely because of Coleridge and Wordsworth’s writings </w:t>
      </w:r>
      <w:r>
        <w:rPr>
          <w:noProof/>
        </w:rPr>
        <w:t>(Marples 1959: 109)</w:t>
      </w:r>
      <w:r>
        <w:t xml:space="preserve">. By linking leisure walking to particular spaces, these poets shaped people’s movements, investing certain destinations and trips with significant pleasure and esteem. </w:t>
      </w:r>
    </w:p>
    <w:p w:rsidR="009D07CE" w:rsidRDefault="009D07CE" w:rsidP="009401F5">
      <w:pPr>
        <w:pStyle w:val="book-para"/>
      </w:pPr>
      <w:r>
        <w:t>Though writers discussed appropriate spaces for walking, the diversity of these spaces reinforced that no one was essential. As Wallace notes, Wordsworth emphasized that it was important ‘</w:t>
      </w:r>
      <w:r w:rsidRPr="002D73A1">
        <w:t>not to gain knowledge of any particular place or places, but to be able to see and examine the moving passage between places,</w:t>
      </w:r>
      <w:r>
        <w:t xml:space="preserve"> the process of change itself’</w:t>
      </w:r>
      <w:r w:rsidRPr="002D73A1">
        <w:t xml:space="preserve"> </w:t>
      </w:r>
      <w:r>
        <w:rPr>
          <w:noProof/>
        </w:rPr>
        <w:t>(Wallace 1993: 73; Wordsworth 1977: appendix 2)</w:t>
      </w:r>
      <w:r>
        <w:t xml:space="preserve">. Jarvis similarly suggests that while Wordsworth has become associated with the Lake District and Grasmere, he was ‘remorselessly addicted to travel’ </w:t>
      </w:r>
      <w:r>
        <w:rPr>
          <w:noProof/>
        </w:rPr>
        <w:t>(2001: 321)</w:t>
      </w:r>
      <w:r>
        <w:t xml:space="preserve">. In this way, the idea that leisure walking should be performed in many spaces was also transmitted through his writings. As a result, the circulation of leisure walking did not depend upon specific spaces in the same way that Ashtanga yoga did. While Mysore is considered the ‘source’ of </w:t>
      </w:r>
      <w:proofErr w:type="spellStart"/>
      <w:r>
        <w:t>Ashtanga</w:t>
      </w:r>
      <w:proofErr w:type="spellEnd"/>
      <w:r>
        <w:t xml:space="preserve"> yoga</w:t>
      </w:r>
      <w:r w:rsidR="00C74EB9">
        <w:t xml:space="preserve"> </w:t>
      </w:r>
      <w:r w:rsidR="00C74EB9">
        <w:lastRenderedPageBreak/>
        <w:t>(</w:t>
      </w:r>
      <w:proofErr w:type="spellStart"/>
      <w:r w:rsidR="00C74EB9">
        <w:t>Brundell</w:t>
      </w:r>
      <w:proofErr w:type="spellEnd"/>
      <w:r w:rsidR="00C74EB9">
        <w:t>)</w:t>
      </w:r>
      <w:r>
        <w:t xml:space="preserve">, leisure walking involves many notable spaces: a ‘greatest-hits tour’ </w:t>
      </w:r>
      <w:r>
        <w:rPr>
          <w:noProof/>
        </w:rPr>
        <w:t>( Odell 2007)</w:t>
      </w:r>
      <w:r>
        <w:t xml:space="preserve">. This understanding of the importance of visiting multiple spaces continues to be re-produced and re-enacted in people’s diverse movements today. </w:t>
      </w:r>
    </w:p>
    <w:p w:rsidR="009D07CE" w:rsidRDefault="009D07CE" w:rsidP="009401F5">
      <w:pPr>
        <w:pStyle w:val="book-para"/>
      </w:pPr>
      <w:r>
        <w:t xml:space="preserve">The circulation of leisure walking, however, is not about writers alone. Though there were many spaces where leisure walking could occur, including the wild and natural spaces that these writers legitimized, people still had to reach them. People’s movements therefore need to be considered in relation to the positioning of walking more broadly. </w:t>
      </w:r>
    </w:p>
    <w:p w:rsidR="009D07CE" w:rsidRDefault="009D07CE" w:rsidP="009401F5">
      <w:pPr>
        <w:pStyle w:val="book-para"/>
      </w:pPr>
      <w:proofErr w:type="gramStart"/>
      <w:r>
        <w:t xml:space="preserve">Before the transportation revolution started </w:t>
      </w:r>
      <w:r w:rsidRPr="00B247B4">
        <w:t>in the late eighteenth century, people</w:t>
      </w:r>
      <w:r>
        <w:t xml:space="preserve"> primarily travelled by foot.</w:t>
      </w:r>
      <w:proofErr w:type="gramEnd"/>
      <w:r>
        <w:t xml:space="preserve"> Roads during the eighteenth century, however, were poorly constructed and frequented by highwaymen who would attack travellers. Those with money acquired horses or carriages to avoid walking because, in addition to being dangerous, it was heavily stigmatized: ‘To walkers and non-walkers alike, walking as travel meant poverty, alienation from society whether for legal or extra-legal reasons, possible moral turpitude, and probably danger to the individuals and communities touched by the act’ </w:t>
      </w:r>
      <w:r>
        <w:rPr>
          <w:noProof/>
        </w:rPr>
        <w:t>(Wallace 1993: 33)</w:t>
      </w:r>
      <w:r>
        <w:t xml:space="preserve">. The development of railways was therefore remarkable because it provided a new, affordable means of transportation and facilitated the reframing of walking as a choice. </w:t>
      </w:r>
    </w:p>
    <w:p w:rsidR="009D07CE" w:rsidRDefault="009D07CE" w:rsidP="009401F5">
      <w:pPr>
        <w:pStyle w:val="book-para"/>
      </w:pPr>
      <w:r>
        <w:t xml:space="preserve">This new transportation infrastructure was crucial to the circulation of leisure walking because it allowed meanings of walking to change. Walking was no longer a signal of low socio-economic status or degeneracy: ‘since the common person need not travel by walking, so walking travellers need not necessarily be poor’ </w:t>
      </w:r>
      <w:r>
        <w:rPr>
          <w:noProof/>
        </w:rPr>
        <w:t>(Wallace 1993: 62)</w:t>
      </w:r>
      <w:r>
        <w:t xml:space="preserve">. In addition to opening up understandings of walking, rail travel was much safer and faster than other modes of transportation, and encouraged walking tours by increasing accessibility to the countryside. Freed from the inconveniences of walking as travel, people could take the railway to places in which they wanted to walk, without having to cover the entire distance on foot </w:t>
      </w:r>
      <w:r>
        <w:rPr>
          <w:noProof/>
        </w:rPr>
        <w:t>(Wallace 1993: 66)</w:t>
      </w:r>
      <w:r>
        <w:t xml:space="preserve">. In this way, more and more spaces away from local communities became possible places for walking. By changing the possibilities for how people travel, railways introduced shifts into the movement of both people and ideas about transportation. They thereby contributed to the expansion of leisure walking from ‘a leisure activity of the aristocracy to a </w:t>
      </w:r>
      <w:r>
        <w:lastRenderedPageBreak/>
        <w:t xml:space="preserve">popular pursuit of the upper middle classes’ </w:t>
      </w:r>
      <w:r>
        <w:rPr>
          <w:noProof/>
        </w:rPr>
        <w:t>(Amato 2004: 101)</w:t>
      </w:r>
      <w:r>
        <w:t>. The movement of the objects and technologies of rail travel worked alongside that of writings to facilitate the circulation of leisure walking; both via an increased number of performances, and a wider spatial (and social) distribution.</w:t>
      </w:r>
    </w:p>
    <w:p w:rsidR="009D07CE" w:rsidRDefault="009D07CE" w:rsidP="009401F5">
      <w:pPr>
        <w:pStyle w:val="book-para"/>
      </w:pPr>
      <w:r>
        <w:t xml:space="preserve">In summary, these elements – the understandings, motivations and goals that distinguish leisure walking from everyday walking – were developed in many spaces by many people, and were shaped by broader changes in transportation technologies. Their early patterns of movement continue to resonate and be reproduced today. Books and writings remain dominant resources which suggest the value of travelling to many spaces rather than a select few. The separation that railway travel enabled between everyday walking and leisure walking also remains relevant, with leisure walking being primarily associated with non-urban spaces. As this case shows, shifts and changes in one mode of transportation can have implications for the movement and circulation of other elements and practices. </w:t>
      </w:r>
    </w:p>
    <w:p w:rsidR="009D07CE" w:rsidRPr="009D07CE" w:rsidRDefault="009D07CE" w:rsidP="009401F5">
      <w:pPr>
        <w:pStyle w:val="book-para"/>
      </w:pPr>
      <w:r w:rsidRPr="009D07CE">
        <w:t xml:space="preserve">These cases demonstrate that the circulation of practice entities both shapes and is shaped by the movement of elements and people. Past destinations, justifications and motivations circumscribe contemporary movements. Past movements that helped to expand the circulation of a practice become valued modes of transmission, and models for the future. Some types of movement come to matter more than others because they have proven effective in the past. In Ashtanga yoga, the movement of people is important because it provides an effective way of transmitting knowledge and skills, and of reproducing understandings of lineage and discipleship. For leisure walking, the decentralized movement of ideas and understandings through books became essential to the practice’s circulation. These types of movements form precedents that have implications for contemporary performances. Moving long distances to meet with gurus is legitimated and encouraged in Ashtanga yoga while the independent and widespread movement of books and people is normalized in leisure walking. </w:t>
      </w:r>
    </w:p>
    <w:p w:rsidR="009D07CE" w:rsidRDefault="009D07CE" w:rsidP="009401F5">
      <w:pPr>
        <w:pStyle w:val="book-para"/>
      </w:pPr>
      <w:r>
        <w:t xml:space="preserve">Though these movements can always change, and must be re-enacted to persist, the point here is that they come to have meaning, and are patterned by the practices of which they are a part. Imagining the inversion of current patterns of movement – suggesting leisure walking enthusiasts must show devotion by </w:t>
      </w:r>
      <w:r>
        <w:lastRenderedPageBreak/>
        <w:t>visiting the Lake District in England, or that Ashtanga yogis figure out postures independently – further emphasises how practices mediate movement. For individual practitioners, such mediations mean that certain patterns of movement can be unintended consequences of pursuing specific practices. Beginning yogis may not set out to travel, but find that as they progress, studying with particular gurus becomes important to increase their skills and support core ideals of the practice. Movements and their meanings can in this way emerge over the course of people’s participation, just as particular patterns and traditions of movement emerge over the course of a practice’s circulation.</w:t>
      </w:r>
    </w:p>
    <w:p w:rsidR="00D81EDC" w:rsidRDefault="009044FF" w:rsidP="009401F5">
      <w:pPr>
        <w:pStyle w:val="book-subhead"/>
      </w:pPr>
      <w:r>
        <w:t xml:space="preserve">Conclusion: </w:t>
      </w:r>
      <w:r w:rsidR="005F1B78">
        <w:t>Practice-mediated travel and intervention</w:t>
      </w:r>
    </w:p>
    <w:p w:rsidR="009D07CE" w:rsidRDefault="009044FF" w:rsidP="009401F5">
      <w:pPr>
        <w:pStyle w:val="book-para"/>
      </w:pPr>
      <w:r>
        <w:t>This chapter has shown how instances and patterns of travel, rather than simply being the outcome of individual choice, are mediated by social practices</w:t>
      </w:r>
      <w:r w:rsidR="006911C4">
        <w:t xml:space="preserve">. Across the historical trajectory </w:t>
      </w:r>
      <w:r w:rsidR="00C74EB9">
        <w:t xml:space="preserve">of </w:t>
      </w:r>
      <w:r w:rsidR="006911C4">
        <w:t>a practice</w:t>
      </w:r>
      <w:r w:rsidR="003C0056">
        <w:t>’</w:t>
      </w:r>
      <w:r w:rsidR="006911C4">
        <w:t>s development</w:t>
      </w:r>
      <w:r w:rsidR="00C74EB9">
        <w:t>,</w:t>
      </w:r>
      <w:r w:rsidR="006911C4">
        <w:t xml:space="preserve"> particular spaces and movements of people and objects become normaliz</w:t>
      </w:r>
      <w:r w:rsidR="008679F5">
        <w:t>ed</w:t>
      </w:r>
      <w:r w:rsidR="00C74EB9">
        <w:t>.</w:t>
      </w:r>
      <w:r w:rsidR="00D81EDC">
        <w:t xml:space="preserve"> </w:t>
      </w:r>
      <w:r w:rsidR="00C74EB9">
        <w:t>T</w:t>
      </w:r>
      <w:r w:rsidR="006911C4">
        <w:t xml:space="preserve">he circulation of </w:t>
      </w:r>
      <w:r w:rsidR="009D07CE">
        <w:t>practices shapes the continued patterns of movement that support them</w:t>
      </w:r>
      <w:r w:rsidR="006911C4">
        <w:t>.</w:t>
      </w:r>
      <w:r w:rsidR="00F71F3D">
        <w:t xml:space="preserve"> To conclude, I take these ideas and reflect on their </w:t>
      </w:r>
      <w:r w:rsidR="006911C4">
        <w:t xml:space="preserve">potential to reframe </w:t>
      </w:r>
      <w:r w:rsidR="008679F5">
        <w:t xml:space="preserve">sustainable travel </w:t>
      </w:r>
      <w:r w:rsidR="006911C4">
        <w:t>policy</w:t>
      </w:r>
      <w:r w:rsidR="002D722B">
        <w:t xml:space="preserve"> and</w:t>
      </w:r>
      <w:r w:rsidR="006911C4">
        <w:t xml:space="preserve"> open up new avenues for intervention</w:t>
      </w:r>
      <w:r w:rsidR="002D722B">
        <w:t xml:space="preserve">. </w:t>
      </w:r>
    </w:p>
    <w:p w:rsidR="00C908A3" w:rsidRDefault="002D722B" w:rsidP="009401F5">
      <w:pPr>
        <w:pStyle w:val="book-para"/>
      </w:pPr>
      <w:r>
        <w:t xml:space="preserve">A theme, by now familiar, is that </w:t>
      </w:r>
      <w:r w:rsidR="00C908A3">
        <w:t xml:space="preserve">patterns of movement are the result of participation in practices. </w:t>
      </w:r>
      <w:r w:rsidR="008679F5">
        <w:t>In this sense t</w:t>
      </w:r>
      <w:r w:rsidR="00C908A3">
        <w:t>ravel is somewhat unintentional</w:t>
      </w:r>
      <w:r w:rsidR="008679F5">
        <w:t>.</w:t>
      </w:r>
      <w:r w:rsidR="00C908A3">
        <w:t xml:space="preserve"> </w:t>
      </w:r>
      <w:r w:rsidR="008679F5">
        <w:t>I</w:t>
      </w:r>
      <w:r w:rsidR="00C908A3">
        <w:t>t is</w:t>
      </w:r>
      <w:r w:rsidR="008679F5">
        <w:t>, therefore,</w:t>
      </w:r>
      <w:r w:rsidR="00C908A3">
        <w:t xml:space="preserve"> no wonder that efforts based solely on informing people about carbon miles and better choices have met with limited success </w:t>
      </w:r>
      <w:r w:rsidR="00C908A3">
        <w:rPr>
          <w:noProof/>
        </w:rPr>
        <w:t>(Southerton et al. 2011: 17)</w:t>
      </w:r>
      <w:r w:rsidR="00C908A3">
        <w:t xml:space="preserve">. </w:t>
      </w:r>
      <w:r>
        <w:t xml:space="preserve">Though individuals might be concerned about their carbon footprints, </w:t>
      </w:r>
      <w:r w:rsidR="00C908A3">
        <w:t xml:space="preserve">information about cutting carbon miles </w:t>
      </w:r>
      <w:r w:rsidR="00D534B5">
        <w:t>will hold little sway</w:t>
      </w:r>
      <w:r w:rsidR="00D81EDC">
        <w:t xml:space="preserve"> </w:t>
      </w:r>
      <w:r w:rsidR="00C908A3">
        <w:t xml:space="preserve">if the </w:t>
      </w:r>
      <w:r w:rsidR="00F71F3D">
        <w:t xml:space="preserve">performance </w:t>
      </w:r>
      <w:r w:rsidR="00C908A3">
        <w:t xml:space="preserve">of </w:t>
      </w:r>
      <w:r w:rsidR="00F71F3D">
        <w:t>a</w:t>
      </w:r>
      <w:r w:rsidR="00C908A3">
        <w:t xml:space="preserve"> practice</w:t>
      </w:r>
      <w:r w:rsidR="00F71F3D">
        <w:t xml:space="preserve"> </w:t>
      </w:r>
      <w:r w:rsidR="00C908A3">
        <w:t>requires them.</w:t>
      </w:r>
      <w:r w:rsidR="008679F5">
        <w:t xml:space="preserve"> From this point of view, s</w:t>
      </w:r>
      <w:r w:rsidR="00C908A3">
        <w:t xml:space="preserve">mall targeted projects that attend to </w:t>
      </w:r>
      <w:r w:rsidR="00F71F3D">
        <w:t xml:space="preserve">specific practice-mediated patterns of travel </w:t>
      </w:r>
      <w:r w:rsidR="00C908A3">
        <w:t>could prove more effective. Sustainable travel policies, rather than attempting to speak to wide sectors of the population, could be tailored to particular</w:t>
      </w:r>
      <w:r w:rsidR="00D534B5">
        <w:t>,</w:t>
      </w:r>
      <w:r w:rsidR="00C908A3">
        <w:t xml:space="preserve"> </w:t>
      </w:r>
      <w:r w:rsidR="00D534B5">
        <w:t xml:space="preserve">travel-intensive, </w:t>
      </w:r>
      <w:r w:rsidR="00C908A3">
        <w:t xml:space="preserve">practices. </w:t>
      </w:r>
    </w:p>
    <w:p w:rsidR="00D534B5" w:rsidRDefault="00C95613" w:rsidP="009401F5">
      <w:pPr>
        <w:pStyle w:val="book-para"/>
      </w:pPr>
      <w:r>
        <w:t xml:space="preserve">Specifying which practices these are is beyond the scope of this </w:t>
      </w:r>
      <w:r w:rsidR="003C0056">
        <w:t>chapt</w:t>
      </w:r>
      <w:r>
        <w:t xml:space="preserve">er, but briefly speculating on the cases presented </w:t>
      </w:r>
      <w:r w:rsidR="003C0056">
        <w:t>here</w:t>
      </w:r>
      <w:r>
        <w:t xml:space="preserve">, the list would likely be broad-ranging, and </w:t>
      </w:r>
      <w:r w:rsidR="003C0056">
        <w:t>have</w:t>
      </w:r>
      <w:r>
        <w:t xml:space="preserve"> unexpected contenders</w:t>
      </w:r>
      <w:r w:rsidR="00C74EB9">
        <w:t>, such as yoga,</w:t>
      </w:r>
      <w:r>
        <w:t xml:space="preserve"> in its midst . </w:t>
      </w:r>
      <w:r w:rsidR="003C0056">
        <w:t xml:space="preserve">Such an approach to intervention would need to weigh up the potential trade-offs of </w:t>
      </w:r>
      <w:r w:rsidR="003C0056">
        <w:lastRenderedPageBreak/>
        <w:t xml:space="preserve">reducing the ‘moving things’ of practices. That is to say that eliminating some movements may initiate others; reducing yogis’ travel to India might increase the movement of books and DVDs. Evaluating the overall impacts </w:t>
      </w:r>
      <w:r w:rsidR="00F71F3D">
        <w:t xml:space="preserve">of </w:t>
      </w:r>
      <w:r w:rsidR="003C0056">
        <w:t xml:space="preserve">practice-related travel would need to take account of such dynamics. </w:t>
      </w:r>
    </w:p>
    <w:p w:rsidR="00F71F3D" w:rsidRDefault="008679F5" w:rsidP="009401F5">
      <w:pPr>
        <w:pStyle w:val="book-para"/>
      </w:pPr>
      <w:r>
        <w:t>T</w:t>
      </w:r>
      <w:r w:rsidR="00F71F3D">
        <w:t xml:space="preserve">his chapter also highlights that </w:t>
      </w:r>
      <w:r w:rsidR="00E93533">
        <w:t xml:space="preserve">a practice’s circulation is </w:t>
      </w:r>
      <w:r w:rsidR="00D81EDC">
        <w:t>always changing</w:t>
      </w:r>
      <w:r w:rsidR="00E93533">
        <w:t xml:space="preserve">, and </w:t>
      </w:r>
      <w:r w:rsidR="00D81EDC">
        <w:t xml:space="preserve">as such, </w:t>
      </w:r>
      <w:r w:rsidR="00E93533">
        <w:t xml:space="preserve">associated patterns of travel </w:t>
      </w:r>
      <w:r w:rsidR="00D81EDC">
        <w:t>are also always ‘on the move’</w:t>
      </w:r>
      <w:r w:rsidR="00E93533">
        <w:t>. For example, b</w:t>
      </w:r>
      <w:r w:rsidR="00F71F3D">
        <w:t xml:space="preserve">efore the 1970s </w:t>
      </w:r>
      <w:proofErr w:type="spellStart"/>
      <w:r w:rsidR="00C74EB9">
        <w:t>A</w:t>
      </w:r>
      <w:r w:rsidR="00E93533">
        <w:t>shtanga</w:t>
      </w:r>
      <w:proofErr w:type="spellEnd"/>
      <w:r w:rsidR="00E93533">
        <w:t xml:space="preserve"> yoga</w:t>
      </w:r>
      <w:r w:rsidR="00D81EDC">
        <w:t xml:space="preserve"> had</w:t>
      </w:r>
      <w:r w:rsidR="00F71F3D">
        <w:t xml:space="preserve"> low level</w:t>
      </w:r>
      <w:r w:rsidR="00D81EDC">
        <w:t>s</w:t>
      </w:r>
      <w:r w:rsidR="00F71F3D">
        <w:t xml:space="preserve"> of </w:t>
      </w:r>
      <w:r w:rsidR="00D81EDC">
        <w:t xml:space="preserve">travel-related </w:t>
      </w:r>
      <w:r w:rsidR="00F71F3D">
        <w:t>resource use because students didn’t have to travel far to see their guru. As the practice circulated internationally</w:t>
      </w:r>
      <w:r w:rsidR="00D81EDC">
        <w:t>, long distance trips</w:t>
      </w:r>
      <w:r w:rsidR="00F71F3D">
        <w:t xml:space="preserve"> became important for maintaining student-teacher relationships. Global circulation does not always prompt </w:t>
      </w:r>
      <w:r w:rsidR="00E93533">
        <w:t>such increases in resource use</w:t>
      </w:r>
      <w:r w:rsidR="00C74EB9">
        <w:t>;</w:t>
      </w:r>
      <w:r w:rsidR="00E93533">
        <w:t xml:space="preserve"> </w:t>
      </w:r>
      <w:r w:rsidR="00E11001">
        <w:t>al</w:t>
      </w:r>
      <w:r w:rsidR="00E93533">
        <w:t xml:space="preserve">though leisure walking is a </w:t>
      </w:r>
      <w:r w:rsidR="00D81EDC">
        <w:t xml:space="preserve">worldwide </w:t>
      </w:r>
      <w:r w:rsidR="00E93533">
        <w:t>pursuit</w:t>
      </w:r>
      <w:r w:rsidR="00C74EB9">
        <w:t>,</w:t>
      </w:r>
      <w:r w:rsidR="00F71F3D">
        <w:t xml:space="preserve"> international travel </w:t>
      </w:r>
      <w:r w:rsidR="00E93533">
        <w:t xml:space="preserve">is </w:t>
      </w:r>
      <w:r w:rsidR="00F71F3D">
        <w:t xml:space="preserve">less important. </w:t>
      </w:r>
      <w:r w:rsidR="00E93533">
        <w:t xml:space="preserve">However, </w:t>
      </w:r>
      <w:r w:rsidR="00F71F3D">
        <w:t xml:space="preserve">in both cases, the travel implications of being a practitioner shift along with the growth and expansion of the practice. </w:t>
      </w:r>
    </w:p>
    <w:p w:rsidR="00E93533" w:rsidRDefault="00EC1C27" w:rsidP="009401F5">
      <w:pPr>
        <w:pStyle w:val="book-para"/>
      </w:pPr>
      <w:r>
        <w:t xml:space="preserve">These observations </w:t>
      </w:r>
      <w:r w:rsidR="00E93533">
        <w:t xml:space="preserve">illustrate that the </w:t>
      </w:r>
      <w:r w:rsidR="00F45A89">
        <w:t>frequencies</w:t>
      </w:r>
      <w:r w:rsidR="00E93533">
        <w:t xml:space="preserve"> and distances of travel associated with a practice are dynamic</w:t>
      </w:r>
      <w:r w:rsidR="00C74EB9">
        <w:t>.</w:t>
      </w:r>
      <w:r w:rsidR="00E93533">
        <w:t xml:space="preserve"> </w:t>
      </w:r>
      <w:r w:rsidR="00C74EB9">
        <w:t>T</w:t>
      </w:r>
      <w:r>
        <w:t>hey have been different in the past, and they will be different in the future</w:t>
      </w:r>
      <w:r w:rsidR="00E93533">
        <w:t xml:space="preserve">. The role of </w:t>
      </w:r>
      <w:r w:rsidR="008679F5">
        <w:t xml:space="preserve">intervention </w:t>
      </w:r>
      <w:r w:rsidR="00F45A89">
        <w:t xml:space="preserve">then is </w:t>
      </w:r>
      <w:r w:rsidR="00E93533">
        <w:t>to shift the practice to a more sustainable trajectory</w:t>
      </w:r>
      <w:r w:rsidR="008679F5">
        <w:t xml:space="preserve"> as part of this ongoing transformation</w:t>
      </w:r>
      <w:r w:rsidR="00E93533">
        <w:t xml:space="preserve">. </w:t>
      </w:r>
      <w:r w:rsidR="00C74EB9">
        <w:t>A</w:t>
      </w:r>
      <w:r>
        <w:t xml:space="preserve">cknowledging that practice-mediated travel is always </w:t>
      </w:r>
      <w:r w:rsidR="005F1B78">
        <w:t xml:space="preserve">shifting </w:t>
      </w:r>
      <w:r>
        <w:t xml:space="preserve">means </w:t>
      </w:r>
      <w:r w:rsidR="00C74EB9">
        <w:t xml:space="preserve">that </w:t>
      </w:r>
      <w:r>
        <w:t xml:space="preserve">there is </w:t>
      </w:r>
      <w:r w:rsidR="00E93533">
        <w:t xml:space="preserve">scope for identifying </w:t>
      </w:r>
      <w:r w:rsidR="008679F5">
        <w:t xml:space="preserve">and targeting </w:t>
      </w:r>
      <w:r>
        <w:t xml:space="preserve">undesirable trajectories </w:t>
      </w:r>
      <w:r w:rsidR="00E11001">
        <w:t xml:space="preserve">early, before </w:t>
      </w:r>
      <w:r>
        <w:t>they</w:t>
      </w:r>
      <w:r w:rsidR="00E11001">
        <w:t xml:space="preserve"> </w:t>
      </w:r>
      <w:r w:rsidR="00E93533">
        <w:t>take hold.</w:t>
      </w:r>
      <w:r w:rsidR="00E93533" w:rsidRPr="00E93533">
        <w:t xml:space="preserve"> </w:t>
      </w:r>
      <w:r w:rsidR="00F45A89">
        <w:t xml:space="preserve">The variety of legitimate spaces associated with leisure walking might offer some clues here. </w:t>
      </w:r>
      <w:r w:rsidR="00E93533">
        <w:t>Wordsworth’s emphasis upon walking in many spaces, rather than just a select few, help</w:t>
      </w:r>
      <w:r w:rsidR="00F45A89">
        <w:t>ed</w:t>
      </w:r>
      <w:r w:rsidR="00E93533">
        <w:t xml:space="preserve"> to justify a wide range of sites for walking, </w:t>
      </w:r>
      <w:r w:rsidR="00F45A89">
        <w:t>making local participation possible. E</w:t>
      </w:r>
      <w:r w:rsidR="00E93533">
        <w:t>mphasising variety and the appropriateness of many sites for performance</w:t>
      </w:r>
      <w:r w:rsidR="00F45A89">
        <w:t xml:space="preserve"> might be one potential strategy.</w:t>
      </w:r>
      <w:r w:rsidR="00E93533">
        <w:t xml:space="preserve"> Such efforts, however, would need to be attentive to the potential link between variety and a travel-intensive push towards collecting and visiting all possible sites.</w:t>
      </w:r>
    </w:p>
    <w:p w:rsidR="00BB7375" w:rsidRDefault="00EC1C27" w:rsidP="009401F5">
      <w:pPr>
        <w:pStyle w:val="book-para"/>
      </w:pPr>
      <w:r>
        <w:t xml:space="preserve">Finally, as this </w:t>
      </w:r>
      <w:r w:rsidR="00F45A89">
        <w:t xml:space="preserve">latter point </w:t>
      </w:r>
      <w:r>
        <w:t xml:space="preserve">suggests, </w:t>
      </w:r>
      <w:r w:rsidR="00F45A89">
        <w:t xml:space="preserve">intervening in </w:t>
      </w:r>
      <w:r>
        <w:t>practice-mediated travel</w:t>
      </w:r>
      <w:r w:rsidR="009D07CE">
        <w:t xml:space="preserve"> cannot be accomplished with </w:t>
      </w:r>
      <w:r w:rsidR="00F45A89">
        <w:t>‘</w:t>
      </w:r>
      <w:r w:rsidR="009D07CE">
        <w:t>business as usual</w:t>
      </w:r>
      <w:r w:rsidR="00F45A89">
        <w:t>’</w:t>
      </w:r>
      <w:r w:rsidR="009D07CE">
        <w:t xml:space="preserve">. </w:t>
      </w:r>
      <w:r>
        <w:t xml:space="preserve">Any intervention or change will result in winners and losers. </w:t>
      </w:r>
      <w:r w:rsidR="00F45A89">
        <w:t>As travel becomes integrated into performance</w:t>
      </w:r>
      <w:r w:rsidR="00C74EB9">
        <w:t>,</w:t>
      </w:r>
      <w:r w:rsidR="00F45A89">
        <w:t xml:space="preserve"> it comes to have meaning and value to practitioners as well as contributing to tourism revenue (</w:t>
      </w:r>
      <w:r w:rsidR="00C74EB9">
        <w:t>Strauss 2005 shows the importance of</w:t>
      </w:r>
      <w:r w:rsidR="00F45A89">
        <w:t xml:space="preserve"> yoga for India</w:t>
      </w:r>
      <w:r w:rsidR="008679F5">
        <w:t>’s tourism</w:t>
      </w:r>
      <w:r w:rsidR="00F45A89">
        <w:t xml:space="preserve">). </w:t>
      </w:r>
      <w:r>
        <w:t xml:space="preserve">Reconciling the </w:t>
      </w:r>
      <w:r w:rsidR="009D07CE">
        <w:t xml:space="preserve">goals of a lower-carbon society </w:t>
      </w:r>
      <w:r>
        <w:t xml:space="preserve">with contemporary practices </w:t>
      </w:r>
      <w:r w:rsidR="009D07CE">
        <w:t xml:space="preserve">will </w:t>
      </w:r>
      <w:r>
        <w:t>be a contested process</w:t>
      </w:r>
      <w:r w:rsidR="009D07CE">
        <w:t xml:space="preserve">, and may depend upon simultaneous </w:t>
      </w:r>
      <w:r w:rsidR="009D07CE">
        <w:lastRenderedPageBreak/>
        <w:t xml:space="preserve">changes to </w:t>
      </w:r>
      <w:r>
        <w:t xml:space="preserve">practices </w:t>
      </w:r>
      <w:r w:rsidR="009D07CE">
        <w:t>and how societal wealth and benefits are evaluated</w:t>
      </w:r>
      <w:r w:rsidR="00F45A89">
        <w:t xml:space="preserve"> (see Sayer, chapter 11 this volume for a more detailed discussion of these issues)</w:t>
      </w:r>
      <w:r w:rsidR="009D07CE">
        <w:t>.</w:t>
      </w:r>
      <w:r w:rsidR="00D81EDC">
        <w:t xml:space="preserve"> </w:t>
      </w:r>
    </w:p>
    <w:p w:rsidR="00BB7375" w:rsidRDefault="00D81EDC" w:rsidP="009401F5">
      <w:pPr>
        <w:pStyle w:val="book-para"/>
      </w:pPr>
      <w:r>
        <w:t xml:space="preserve">In this sense, </w:t>
      </w:r>
      <w:r w:rsidR="00BB7375">
        <w:t>the contribution of this chapter is simply a first step</w:t>
      </w:r>
      <w:r>
        <w:t xml:space="preserve">, illustrating just how embedded movement has become in social life and </w:t>
      </w:r>
      <w:r w:rsidR="00BB7375">
        <w:t xml:space="preserve">identifying a potential reframing of </w:t>
      </w:r>
      <w:r>
        <w:t>intervention that take</w:t>
      </w:r>
      <w:r w:rsidR="00BB7375">
        <w:t>s</w:t>
      </w:r>
      <w:r>
        <w:t xml:space="preserve"> us beyond behaviour change and into the complexities of social practice.</w:t>
      </w:r>
    </w:p>
    <w:p w:rsidR="009D07CE" w:rsidRPr="00C738E9" w:rsidRDefault="009D07CE" w:rsidP="009401F5">
      <w:pPr>
        <w:pStyle w:val="book-subhead"/>
      </w:pPr>
      <w:r w:rsidRPr="00C738E9">
        <w:t>Acknowledgements</w:t>
      </w:r>
    </w:p>
    <w:p w:rsidR="009D07CE" w:rsidRDefault="009D07CE" w:rsidP="009401F5">
      <w:pPr>
        <w:pStyle w:val="book-para"/>
      </w:pPr>
      <w:r>
        <w:t xml:space="preserve">This chapter draws upon research supported by a PhD scholarship from the Commonwealth Scholarship Commission of the UK. Many thanks to Elizabeth Shove, Nicola Spurling, John Urry, </w:t>
      </w:r>
      <w:r w:rsidRPr="006E6BC0">
        <w:t xml:space="preserve">Dana </w:t>
      </w:r>
      <w:proofErr w:type="spellStart"/>
      <w:r w:rsidRPr="006E6BC0">
        <w:t>Bentia</w:t>
      </w:r>
      <w:proofErr w:type="spellEnd"/>
      <w:r w:rsidRPr="006E6BC0">
        <w:t xml:space="preserve">, </w:t>
      </w:r>
      <w:proofErr w:type="spellStart"/>
      <w:r w:rsidRPr="006E6BC0">
        <w:t>Mi</w:t>
      </w:r>
      <w:r>
        <w:t>s</w:t>
      </w:r>
      <w:r w:rsidRPr="006E6BC0">
        <w:t>ela</w:t>
      </w:r>
      <w:proofErr w:type="spellEnd"/>
      <w:r w:rsidRPr="006E6BC0">
        <w:t xml:space="preserve"> </w:t>
      </w:r>
      <w:proofErr w:type="spellStart"/>
      <w:r w:rsidRPr="006E6BC0">
        <w:t>Mavri</w:t>
      </w:r>
      <w:r>
        <w:t>c</w:t>
      </w:r>
      <w:proofErr w:type="spellEnd"/>
      <w:r>
        <w:t xml:space="preserve">, James </w:t>
      </w:r>
      <w:proofErr w:type="spellStart"/>
      <w:r>
        <w:t>Tomasson</w:t>
      </w:r>
      <w:proofErr w:type="spellEnd"/>
      <w:r>
        <w:t xml:space="preserve">, </w:t>
      </w:r>
      <w:proofErr w:type="spellStart"/>
      <w:r>
        <w:t>Niklas</w:t>
      </w:r>
      <w:proofErr w:type="spellEnd"/>
      <w:r>
        <w:t xml:space="preserve"> </w:t>
      </w:r>
      <w:proofErr w:type="spellStart"/>
      <w:r>
        <w:t>Woermann</w:t>
      </w:r>
      <w:proofErr w:type="spellEnd"/>
      <w:r>
        <w:t xml:space="preserve"> and the other contributors for their extremely helpful comments on earlier drafts.</w:t>
      </w:r>
    </w:p>
    <w:p w:rsidR="009D07CE" w:rsidRDefault="009D07CE" w:rsidP="009401F5">
      <w:pPr>
        <w:pStyle w:val="book-subhead"/>
      </w:pPr>
      <w:r>
        <w:t>Notes</w:t>
      </w:r>
    </w:p>
    <w:sectPr w:rsidR="009D07CE" w:rsidSect="00406706">
      <w:headerReference w:type="default" r:id="rId7"/>
      <w:footerReference w:type="default" r:id="rId8"/>
      <w:endnotePr>
        <w:numFmt w:val="decimal"/>
      </w:endnotePr>
      <w:pgSz w:w="11906" w:h="16838"/>
      <w:pgMar w:top="1985" w:right="1985" w:bottom="1985" w:left="1985"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A9D" w:rsidRDefault="00F37A9D" w:rsidP="00406706"/>
  </w:endnote>
  <w:endnote w:type="continuationSeparator" w:id="0">
    <w:p w:rsidR="00F37A9D" w:rsidRDefault="00F37A9D" w:rsidP="00406706"/>
  </w:endnote>
  <w:endnote w:id="1">
    <w:p w:rsidR="00D81EDC" w:rsidRPr="00496886" w:rsidRDefault="00D81EDC" w:rsidP="009401F5">
      <w:pPr>
        <w:pStyle w:val="book-para"/>
        <w:rPr>
          <w:lang w:val="en-US"/>
        </w:rPr>
      </w:pPr>
      <w:r w:rsidRPr="00496886">
        <w:rPr>
          <w:rStyle w:val="EndnoteReference"/>
        </w:rPr>
        <w:endnoteRef/>
      </w:r>
      <w:r w:rsidRPr="00496886">
        <w:t xml:space="preserve"> This is a type of hatha yoga where a series of postures are sequenced with specific gazing points and breaths: see for example the diagrams at www.yoga-manchester.co.uk/mats-yoga-charts.pdf. </w:t>
      </w:r>
    </w:p>
  </w:endnote>
  <w:endnote w:id="2">
    <w:p w:rsidR="00D81EDC" w:rsidRDefault="00D81EDC" w:rsidP="009401F5">
      <w:pPr>
        <w:pStyle w:val="book-para"/>
        <w:rPr>
          <w:lang w:val="en-US"/>
        </w:rPr>
      </w:pPr>
      <w:r w:rsidRPr="00496886">
        <w:rPr>
          <w:rStyle w:val="EndnoteReference"/>
        </w:rPr>
        <w:endnoteRef/>
      </w:r>
      <w:r w:rsidRPr="00496886">
        <w:t xml:space="preserve"> </w:t>
      </w:r>
      <w:r w:rsidRPr="00496886">
        <w:rPr>
          <w:lang w:val="en-US"/>
        </w:rPr>
        <w:t>Though defining practices is always an analytic task, the existence of professional or voluntary organizations in each of these cases, along with the ability of practitioners to name and identify with these pursuits, provides a strong justification for their validity as distinct practices.</w:t>
      </w:r>
    </w:p>
    <w:p w:rsidR="00BB7375" w:rsidRDefault="00BB7375" w:rsidP="009401F5">
      <w:pPr>
        <w:pStyle w:val="book-subhead"/>
      </w:pPr>
      <w:r w:rsidRPr="00D35E08">
        <w:t>Bibliography</w:t>
      </w:r>
    </w:p>
    <w:p w:rsidR="00BB7375" w:rsidRDefault="00BB7375" w:rsidP="009401F5">
      <w:pPr>
        <w:pStyle w:val="book-para"/>
        <w:rPr>
          <w:noProof/>
        </w:rPr>
      </w:pPr>
      <w:r>
        <w:rPr>
          <w:noProof/>
        </w:rPr>
        <w:t xml:space="preserve">Amato, J. A. (2004) </w:t>
      </w:r>
      <w:r w:rsidRPr="00C5571C">
        <w:rPr>
          <w:i/>
          <w:noProof/>
        </w:rPr>
        <w:t>On foot: a history of walking</w:t>
      </w:r>
      <w:r>
        <w:rPr>
          <w:noProof/>
        </w:rPr>
        <w:t>, New York: New York University Press.</w:t>
      </w:r>
    </w:p>
    <w:p w:rsidR="00BB7375" w:rsidRDefault="00BB7375" w:rsidP="009401F5">
      <w:pPr>
        <w:pStyle w:val="book-para"/>
        <w:rPr>
          <w:noProof/>
        </w:rPr>
      </w:pPr>
      <w:r>
        <w:rPr>
          <w:noProof/>
        </w:rPr>
        <w:t>Ashtanga yoga works</w:t>
      </w:r>
      <w:r w:rsidR="00A451D2">
        <w:rPr>
          <w:noProof/>
        </w:rPr>
        <w:t>hops. (2011). Online. Available HTTP:</w:t>
      </w:r>
      <w:r>
        <w:rPr>
          <w:noProof/>
        </w:rPr>
        <w:t xml:space="preserve"> &lt;</w:t>
      </w:r>
      <w:r w:rsidRPr="001429BF">
        <w:rPr>
          <w:noProof/>
        </w:rPr>
        <w:t>http://www.ashtanga.com/workshops.lasso</w:t>
      </w:r>
      <w:r>
        <w:rPr>
          <w:noProof/>
        </w:rPr>
        <w:t>&gt; (accessed 11 April 2011).</w:t>
      </w:r>
    </w:p>
    <w:p w:rsidR="00BB7375" w:rsidRDefault="00BB7375" w:rsidP="009401F5">
      <w:pPr>
        <w:pStyle w:val="book-para"/>
        <w:rPr>
          <w:noProof/>
        </w:rPr>
      </w:pPr>
      <w:r>
        <w:rPr>
          <w:noProof/>
        </w:rPr>
        <w:t xml:space="preserve">Bourdieu, P. (1977) </w:t>
      </w:r>
      <w:r w:rsidRPr="00C5571C">
        <w:rPr>
          <w:i/>
          <w:noProof/>
        </w:rPr>
        <w:t>Outline of a theory of practice</w:t>
      </w:r>
      <w:r>
        <w:rPr>
          <w:noProof/>
        </w:rPr>
        <w:t>, trans. R. Nice, Cambridge: Cambridge University Press.</w:t>
      </w:r>
    </w:p>
    <w:p w:rsidR="00BB7375" w:rsidRDefault="00BB7375" w:rsidP="009401F5">
      <w:pPr>
        <w:pStyle w:val="book-para"/>
        <w:rPr>
          <w:noProof/>
        </w:rPr>
      </w:pPr>
      <w:r>
        <w:rPr>
          <w:noProof/>
        </w:rPr>
        <w:t xml:space="preserve">Bourdieu, P. (1990) </w:t>
      </w:r>
      <w:r w:rsidRPr="00C5571C">
        <w:rPr>
          <w:i/>
          <w:noProof/>
        </w:rPr>
        <w:t>The logic of practice</w:t>
      </w:r>
      <w:r>
        <w:rPr>
          <w:noProof/>
        </w:rPr>
        <w:t>, trans. R. Nice, Stanford: Stanford University Press.</w:t>
      </w:r>
    </w:p>
    <w:p w:rsidR="00BB7375" w:rsidRDefault="00BB7375" w:rsidP="009401F5">
      <w:pPr>
        <w:pStyle w:val="book-para"/>
        <w:rPr>
          <w:noProof/>
        </w:rPr>
      </w:pPr>
      <w:r>
        <w:rPr>
          <w:noProof/>
        </w:rPr>
        <w:t>Brundell, B.  Mysore. Online. Available HTTP: &lt;</w:t>
      </w:r>
      <w:r w:rsidRPr="001429BF">
        <w:rPr>
          <w:noProof/>
        </w:rPr>
        <w:t>http://www.planetashtangayoga.com/Mysore.html</w:t>
      </w:r>
      <w:r>
        <w:rPr>
          <w:noProof/>
        </w:rPr>
        <w:t>&gt; (accessed 25 April 2012).</w:t>
      </w:r>
    </w:p>
    <w:p w:rsidR="00BB7375" w:rsidRDefault="00BB7375" w:rsidP="009401F5">
      <w:pPr>
        <w:pStyle w:val="book-para"/>
        <w:rPr>
          <w:noProof/>
        </w:rPr>
      </w:pPr>
      <w:r>
        <w:rPr>
          <w:noProof/>
        </w:rPr>
        <w:t xml:space="preserve">Cresswell, T. (2006) </w:t>
      </w:r>
      <w:r w:rsidRPr="00C5571C">
        <w:rPr>
          <w:noProof/>
        </w:rPr>
        <w:t>On the move: mobility in the modern Western world</w:t>
      </w:r>
      <w:r>
        <w:rPr>
          <w:noProof/>
        </w:rPr>
        <w:t>, London: Routledge.</w:t>
      </w:r>
    </w:p>
    <w:p w:rsidR="00BB7375" w:rsidRDefault="00BB7375" w:rsidP="009401F5">
      <w:pPr>
        <w:pStyle w:val="book-para"/>
        <w:rPr>
          <w:noProof/>
        </w:rPr>
      </w:pPr>
      <w:r>
        <w:rPr>
          <w:noProof/>
        </w:rPr>
        <w:t xml:space="preserve">Donahaye, G. and Stern, E. (2010) </w:t>
      </w:r>
      <w:r w:rsidRPr="00C5571C">
        <w:rPr>
          <w:noProof/>
        </w:rPr>
        <w:t>Guruji: a portrait of Sri K. Pattabhi Jois through the eyes of his students</w:t>
      </w:r>
      <w:r>
        <w:rPr>
          <w:noProof/>
        </w:rPr>
        <w:t>, New York: North Point Press.</w:t>
      </w:r>
    </w:p>
    <w:p w:rsidR="00BB7375" w:rsidRDefault="00BB7375" w:rsidP="009401F5">
      <w:pPr>
        <w:pStyle w:val="book-para"/>
        <w:rPr>
          <w:noProof/>
        </w:rPr>
      </w:pPr>
      <w:r>
        <w:rPr>
          <w:noProof/>
        </w:rPr>
        <w:t xml:space="preserve">Edensor, T. (2000) 'Walking in the British countryside: reflexivity, embodied practices and ways to escape', </w:t>
      </w:r>
      <w:r w:rsidRPr="00C5571C">
        <w:rPr>
          <w:i/>
          <w:noProof/>
        </w:rPr>
        <w:t xml:space="preserve">Body and Society, </w:t>
      </w:r>
      <w:r>
        <w:rPr>
          <w:noProof/>
        </w:rPr>
        <w:t>6(3-4): 81-106.</w:t>
      </w:r>
    </w:p>
    <w:p w:rsidR="00BB7375" w:rsidRDefault="00BB7375" w:rsidP="009401F5">
      <w:pPr>
        <w:pStyle w:val="book-para"/>
        <w:rPr>
          <w:noProof/>
        </w:rPr>
      </w:pPr>
      <w:r>
        <w:rPr>
          <w:noProof/>
        </w:rPr>
        <w:t xml:space="preserve">Gaddi, R. and Bellavitis, A. D. A. (2010) 'Design, knowledge sharing, creativity, great events: tools for contemporary urban development', </w:t>
      </w:r>
      <w:r w:rsidRPr="00C5571C">
        <w:rPr>
          <w:i/>
          <w:noProof/>
        </w:rPr>
        <w:t xml:space="preserve">Revista de Design, Inovação e Gestão Estratégica, </w:t>
      </w:r>
      <w:r>
        <w:rPr>
          <w:noProof/>
        </w:rPr>
        <w:t>1(1): 96-112.</w:t>
      </w:r>
    </w:p>
    <w:p w:rsidR="00BB7375" w:rsidRDefault="00BB7375" w:rsidP="009401F5">
      <w:pPr>
        <w:pStyle w:val="book-para"/>
        <w:rPr>
          <w:noProof/>
        </w:rPr>
      </w:pPr>
      <w:r>
        <w:rPr>
          <w:noProof/>
        </w:rPr>
        <w:t>Get walking keep walking. (2009). Online. Available HTTP: &lt;</w:t>
      </w:r>
      <w:r w:rsidRPr="001429BF">
        <w:rPr>
          <w:noProof/>
        </w:rPr>
        <w:t>http://www.getwalking.org/</w:t>
      </w:r>
      <w:r>
        <w:rPr>
          <w:noProof/>
        </w:rPr>
        <w:t>&gt; (accessed 15 February 2012).</w:t>
      </w:r>
    </w:p>
    <w:p w:rsidR="00BB7375" w:rsidRDefault="00BB7375" w:rsidP="009401F5">
      <w:pPr>
        <w:pStyle w:val="book-para"/>
        <w:rPr>
          <w:noProof/>
        </w:rPr>
      </w:pPr>
      <w:r>
        <w:rPr>
          <w:noProof/>
        </w:rPr>
        <w:t xml:space="preserve">Giddens, A. (1979) </w:t>
      </w:r>
      <w:r w:rsidRPr="00C5571C">
        <w:rPr>
          <w:i/>
          <w:noProof/>
        </w:rPr>
        <w:t>Central problems in social theory</w:t>
      </w:r>
      <w:r>
        <w:rPr>
          <w:noProof/>
        </w:rPr>
        <w:t>, London: Macmillan Press.</w:t>
      </w:r>
    </w:p>
    <w:p w:rsidR="00BB7375" w:rsidRDefault="00BB7375" w:rsidP="009401F5">
      <w:pPr>
        <w:pStyle w:val="book-para"/>
        <w:rPr>
          <w:noProof/>
        </w:rPr>
      </w:pPr>
      <w:r>
        <w:rPr>
          <w:noProof/>
        </w:rPr>
        <w:t xml:space="preserve">Giddens, A. (1984) </w:t>
      </w:r>
      <w:r w:rsidRPr="00C5571C">
        <w:rPr>
          <w:i/>
          <w:noProof/>
        </w:rPr>
        <w:t>The constitution of society</w:t>
      </w:r>
      <w:r>
        <w:rPr>
          <w:noProof/>
        </w:rPr>
        <w:t>, Cambridge: Polity Press.</w:t>
      </w:r>
    </w:p>
    <w:p w:rsidR="00BB7375" w:rsidRDefault="00BB7375" w:rsidP="009401F5">
      <w:pPr>
        <w:pStyle w:val="book-para"/>
        <w:rPr>
          <w:noProof/>
        </w:rPr>
      </w:pPr>
      <w:r>
        <w:rPr>
          <w:noProof/>
        </w:rPr>
        <w:t xml:space="preserve">Jarvis, R. (2001) 'The wages of travel: Wordsworth and the memorial tour of 1820', </w:t>
      </w:r>
      <w:r w:rsidRPr="00C5571C">
        <w:rPr>
          <w:i/>
          <w:noProof/>
        </w:rPr>
        <w:t xml:space="preserve">Studies in Romanticism, </w:t>
      </w:r>
      <w:r>
        <w:rPr>
          <w:noProof/>
        </w:rPr>
        <w:t>40(3): 321-343.</w:t>
      </w:r>
    </w:p>
    <w:p w:rsidR="00BB7375" w:rsidRDefault="00BB7375" w:rsidP="009401F5">
      <w:pPr>
        <w:pStyle w:val="book-para"/>
        <w:rPr>
          <w:noProof/>
        </w:rPr>
      </w:pPr>
      <w:r>
        <w:rPr>
          <w:noProof/>
        </w:rPr>
        <w:t xml:space="preserve">Jois, S. K. P. (2002) </w:t>
      </w:r>
      <w:r w:rsidRPr="00C5571C">
        <w:rPr>
          <w:i/>
          <w:noProof/>
        </w:rPr>
        <w:t>Yoga mala</w:t>
      </w:r>
      <w:r>
        <w:rPr>
          <w:noProof/>
        </w:rPr>
        <w:t>, trans. S. V. Kadam and D. H. L. Chandrashekar, New York: North Point Press.</w:t>
      </w:r>
    </w:p>
    <w:p w:rsidR="00BB7375" w:rsidRDefault="00BB7375" w:rsidP="009401F5">
      <w:pPr>
        <w:pStyle w:val="book-para"/>
        <w:rPr>
          <w:noProof/>
        </w:rPr>
      </w:pPr>
      <w:r>
        <w:rPr>
          <w:noProof/>
        </w:rPr>
        <w:t xml:space="preserve">Lerner, J. (2007) 'Cities, sociodiversity, and strategy', in M. Robinson, W. Novelli, C. Pearson and L. Norris (eds), </w:t>
      </w:r>
      <w:r w:rsidRPr="00C5571C">
        <w:rPr>
          <w:i/>
          <w:noProof/>
        </w:rPr>
        <w:t>Global health and global aging</w:t>
      </w:r>
      <w:r>
        <w:rPr>
          <w:noProof/>
        </w:rPr>
        <w:t xml:space="preserve"> (pp. 275-280), San Francisco: Wiley.</w:t>
      </w:r>
    </w:p>
    <w:p w:rsidR="00BB7375" w:rsidRDefault="00BB7375" w:rsidP="009401F5">
      <w:pPr>
        <w:pStyle w:val="book-para"/>
        <w:rPr>
          <w:noProof/>
        </w:rPr>
      </w:pPr>
      <w:r>
        <w:rPr>
          <w:noProof/>
        </w:rPr>
        <w:t xml:space="preserve">Marples, M. (1959) </w:t>
      </w:r>
      <w:r w:rsidRPr="00C5571C">
        <w:rPr>
          <w:i/>
          <w:noProof/>
        </w:rPr>
        <w:t>Shanks's pony: a study of walking</w:t>
      </w:r>
      <w:r>
        <w:rPr>
          <w:noProof/>
        </w:rPr>
        <w:t>, London: J.M. Dent &amp; Sons Ltd.</w:t>
      </w:r>
    </w:p>
    <w:p w:rsidR="00BB7375" w:rsidRDefault="00BB7375" w:rsidP="009401F5">
      <w:pPr>
        <w:pStyle w:val="book-para"/>
        <w:rPr>
          <w:noProof/>
        </w:rPr>
      </w:pPr>
      <w:r>
        <w:rPr>
          <w:noProof/>
        </w:rPr>
        <w:t xml:space="preserve">McArthur, T. (1986) </w:t>
      </w:r>
      <w:r w:rsidRPr="00C5571C">
        <w:rPr>
          <w:noProof/>
        </w:rPr>
        <w:t>Understanding yoga: a thematic companion to yoga and Indian philosophy</w:t>
      </w:r>
      <w:r>
        <w:rPr>
          <w:noProof/>
        </w:rPr>
        <w:t>, Wellingborough, UK: The Aquarian Press.</w:t>
      </w:r>
    </w:p>
    <w:p w:rsidR="00BB7375" w:rsidRDefault="00BB7375" w:rsidP="009401F5">
      <w:pPr>
        <w:pStyle w:val="book-para"/>
        <w:rPr>
          <w:noProof/>
        </w:rPr>
      </w:pPr>
      <w:r>
        <w:rPr>
          <w:noProof/>
        </w:rPr>
        <w:t>Naddermier, K. (2010) Conversations with Danny Paradise. Online. Available HTTP: &lt;</w:t>
      </w:r>
      <w:r w:rsidRPr="001429BF">
        <w:rPr>
          <w:noProof/>
        </w:rPr>
        <w:t>http://yogaparis.wordpress.com/2010/05/07/conversations-with-danny-paradise/</w:t>
      </w:r>
      <w:r>
        <w:rPr>
          <w:noProof/>
        </w:rPr>
        <w:t>&gt; (accessed 25 April 2012).</w:t>
      </w:r>
    </w:p>
    <w:p w:rsidR="00BB7375" w:rsidRDefault="00BB7375" w:rsidP="009401F5">
      <w:pPr>
        <w:pStyle w:val="book-para"/>
        <w:rPr>
          <w:noProof/>
        </w:rPr>
      </w:pPr>
      <w:r>
        <w:rPr>
          <w:noProof/>
        </w:rPr>
        <w:t xml:space="preserve">Odell, R. (2007, October) Life list: backpack Rocky Mountain National Park. </w:t>
      </w:r>
      <w:r w:rsidRPr="00C5571C">
        <w:rPr>
          <w:i/>
          <w:noProof/>
        </w:rPr>
        <w:t xml:space="preserve">Backpacker, 35 </w:t>
      </w:r>
      <w:r>
        <w:rPr>
          <w:noProof/>
        </w:rPr>
        <w:t>(253:8)</w:t>
      </w:r>
      <w:r w:rsidRPr="00C5571C">
        <w:rPr>
          <w:i/>
          <w:noProof/>
        </w:rPr>
        <w:t>,</w:t>
      </w:r>
      <w:r>
        <w:rPr>
          <w:noProof/>
        </w:rPr>
        <w:t xml:space="preserve"> 30.</w:t>
      </w:r>
    </w:p>
    <w:p w:rsidR="00BB7375" w:rsidRDefault="00BB7375" w:rsidP="009401F5">
      <w:pPr>
        <w:pStyle w:val="book-para"/>
        <w:rPr>
          <w:noProof/>
        </w:rPr>
      </w:pPr>
      <w:r>
        <w:rPr>
          <w:noProof/>
        </w:rPr>
        <w:t xml:space="preserve">Reckwitz, A. (2002) 'Toward a theory of social practices: a development in culturalist theorizing', </w:t>
      </w:r>
      <w:r w:rsidRPr="00C5571C">
        <w:rPr>
          <w:i/>
          <w:noProof/>
        </w:rPr>
        <w:t xml:space="preserve">European Journal of Social Theory, </w:t>
      </w:r>
      <w:r>
        <w:rPr>
          <w:noProof/>
        </w:rPr>
        <w:t>5(2): 243-263.</w:t>
      </w:r>
    </w:p>
    <w:p w:rsidR="00BB7375" w:rsidRDefault="00BB7375" w:rsidP="009401F5">
      <w:pPr>
        <w:pStyle w:val="book-para"/>
        <w:rPr>
          <w:noProof/>
        </w:rPr>
      </w:pPr>
      <w:r>
        <w:rPr>
          <w:noProof/>
        </w:rPr>
        <w:t xml:space="preserve">Redfern, R. (2011) </w:t>
      </w:r>
      <w:r w:rsidR="00A451D2">
        <w:rPr>
          <w:noProof/>
        </w:rPr>
        <w:t>‘</w:t>
      </w:r>
      <w:r>
        <w:rPr>
          <w:noProof/>
        </w:rPr>
        <w:t>Evaluation of the cycling cities and towns programme: interim report</w:t>
      </w:r>
      <w:r w:rsidR="00A451D2">
        <w:rPr>
          <w:noProof/>
        </w:rPr>
        <w:t>’</w:t>
      </w:r>
      <w:r>
        <w:rPr>
          <w:noProof/>
        </w:rPr>
        <w:t>. London: Department for Transport</w:t>
      </w:r>
      <w:r w:rsidR="00A451D2">
        <w:rPr>
          <w:noProof/>
        </w:rPr>
        <w:t>.</w:t>
      </w:r>
      <w:r>
        <w:rPr>
          <w:noProof/>
        </w:rPr>
        <w:t xml:space="preserve"> </w:t>
      </w:r>
    </w:p>
    <w:p w:rsidR="00BB7375" w:rsidRDefault="00A451D2" w:rsidP="009401F5">
      <w:pPr>
        <w:pStyle w:val="book-para"/>
        <w:rPr>
          <w:noProof/>
        </w:rPr>
      </w:pPr>
      <w:r>
        <w:rPr>
          <w:noProof/>
        </w:rPr>
        <w:t>Ryan, M. (2009</w:t>
      </w:r>
      <w:r w:rsidR="00BB7375">
        <w:rPr>
          <w:noProof/>
        </w:rPr>
        <w:t xml:space="preserve">) </w:t>
      </w:r>
      <w:r>
        <w:rPr>
          <w:noProof/>
        </w:rPr>
        <w:t>‘</w:t>
      </w:r>
      <w:r w:rsidR="00BB7375">
        <w:rPr>
          <w:noProof/>
        </w:rPr>
        <w:t>The boy David</w:t>
      </w:r>
      <w:r>
        <w:rPr>
          <w:noProof/>
        </w:rPr>
        <w:t>’</w:t>
      </w:r>
      <w:r w:rsidR="00BB7375">
        <w:rPr>
          <w:noProof/>
        </w:rPr>
        <w:t xml:space="preserve">. </w:t>
      </w:r>
      <w:r w:rsidR="00BB7375" w:rsidRPr="00C5571C">
        <w:rPr>
          <w:i/>
          <w:noProof/>
        </w:rPr>
        <w:t>Yoga Magazine</w:t>
      </w:r>
      <w:r>
        <w:rPr>
          <w:i/>
          <w:noProof/>
        </w:rPr>
        <w:t>,</w:t>
      </w:r>
      <w:r w:rsidR="00BB7375" w:rsidRPr="00C5571C">
        <w:rPr>
          <w:i/>
          <w:noProof/>
        </w:rPr>
        <w:t xml:space="preserve"> </w:t>
      </w:r>
      <w:r>
        <w:rPr>
          <w:noProof/>
        </w:rPr>
        <w:t xml:space="preserve">76 (May): </w:t>
      </w:r>
      <w:r w:rsidR="00BB7375">
        <w:rPr>
          <w:noProof/>
        </w:rPr>
        <w:t>56-8.</w:t>
      </w:r>
    </w:p>
    <w:p w:rsidR="00BB7375" w:rsidRDefault="00BB7375" w:rsidP="009401F5">
      <w:pPr>
        <w:pStyle w:val="book-para"/>
        <w:rPr>
          <w:noProof/>
        </w:rPr>
      </w:pPr>
      <w:r>
        <w:rPr>
          <w:noProof/>
        </w:rPr>
        <w:t xml:space="preserve">Schatzki, T. R. (1996) </w:t>
      </w:r>
      <w:r w:rsidRPr="00C5571C">
        <w:rPr>
          <w:noProof/>
        </w:rPr>
        <w:t>Social practices: a Wittgensteinian approach to human activity and the social</w:t>
      </w:r>
      <w:r>
        <w:rPr>
          <w:noProof/>
        </w:rPr>
        <w:t>, New York: Cambridge University Press.</w:t>
      </w:r>
    </w:p>
    <w:p w:rsidR="00BB7375" w:rsidRDefault="00BB7375" w:rsidP="009401F5">
      <w:pPr>
        <w:pStyle w:val="book-para"/>
        <w:rPr>
          <w:noProof/>
        </w:rPr>
      </w:pPr>
      <w:r>
        <w:rPr>
          <w:noProof/>
        </w:rPr>
        <w:t xml:space="preserve">Schatzki, T. R. (2002) </w:t>
      </w:r>
      <w:r w:rsidRPr="00C5571C">
        <w:rPr>
          <w:noProof/>
        </w:rPr>
        <w:t>The site of the social: a philosophical account of the constitution of social life and change</w:t>
      </w:r>
      <w:r>
        <w:rPr>
          <w:noProof/>
        </w:rPr>
        <w:t>, University Park, PA: Pennsylvania State University Press.</w:t>
      </w:r>
    </w:p>
    <w:p w:rsidR="00BB7375" w:rsidRDefault="00BB7375" w:rsidP="009401F5">
      <w:pPr>
        <w:pStyle w:val="book-para"/>
        <w:rPr>
          <w:noProof/>
        </w:rPr>
      </w:pPr>
      <w:r>
        <w:rPr>
          <w:noProof/>
        </w:rPr>
        <w:t xml:space="preserve">Schatzki, T. R. (2010) </w:t>
      </w:r>
      <w:r w:rsidRPr="00C5571C">
        <w:rPr>
          <w:noProof/>
        </w:rPr>
        <w:t>The timespace of human activity: on performance, society, and history as indeterminate teleological events</w:t>
      </w:r>
      <w:r>
        <w:rPr>
          <w:noProof/>
        </w:rPr>
        <w:t>, Lanham, MD: Lexington Books.</w:t>
      </w:r>
    </w:p>
    <w:p w:rsidR="00BB7375" w:rsidRDefault="00BB7375" w:rsidP="009401F5">
      <w:pPr>
        <w:pStyle w:val="book-para"/>
        <w:rPr>
          <w:noProof/>
        </w:rPr>
      </w:pPr>
      <w:r>
        <w:rPr>
          <w:noProof/>
        </w:rPr>
        <w:t xml:space="preserve">Shove, E. and Pantzar, M. (2007) 'Recruitment and reproduction: the careers and carriers of digital photography and floorball', </w:t>
      </w:r>
      <w:r w:rsidRPr="00C5571C">
        <w:rPr>
          <w:i/>
          <w:noProof/>
        </w:rPr>
        <w:t xml:space="preserve">Human Affairs, </w:t>
      </w:r>
      <w:r>
        <w:rPr>
          <w:noProof/>
        </w:rPr>
        <w:t>17: 154-167.</w:t>
      </w:r>
    </w:p>
    <w:p w:rsidR="00BB7375" w:rsidRDefault="00BB7375" w:rsidP="009401F5">
      <w:pPr>
        <w:pStyle w:val="book-para"/>
        <w:rPr>
          <w:noProof/>
        </w:rPr>
      </w:pPr>
      <w:r>
        <w:rPr>
          <w:noProof/>
        </w:rPr>
        <w:t>Shri K Pattabhi Jois Ashtanga Yoga Institute: teachers. Online. Available HTTP: &lt;</w:t>
      </w:r>
      <w:r w:rsidRPr="001429BF">
        <w:rPr>
          <w:noProof/>
        </w:rPr>
        <w:t>http://www.kpjayi.org/teachers.html</w:t>
      </w:r>
      <w:r>
        <w:rPr>
          <w:noProof/>
        </w:rPr>
        <w:t>&gt; (accessed 6 November 2009).</w:t>
      </w:r>
    </w:p>
    <w:p w:rsidR="00BB7375" w:rsidRDefault="00BB7375" w:rsidP="009401F5">
      <w:pPr>
        <w:pStyle w:val="book-para"/>
        <w:rPr>
          <w:noProof/>
        </w:rPr>
      </w:pPr>
      <w:r>
        <w:rPr>
          <w:noProof/>
        </w:rPr>
        <w:t xml:space="preserve">Sloman, L., Cairns, S., Newson, C., Anable, J., Pridmore, A. and Goodwin, P. (2010) </w:t>
      </w:r>
      <w:r w:rsidR="00A451D2">
        <w:rPr>
          <w:noProof/>
        </w:rPr>
        <w:t>‘</w:t>
      </w:r>
      <w:r>
        <w:rPr>
          <w:noProof/>
        </w:rPr>
        <w:t>The effects of smarter choice programmes in the Sustainable Travel Towns: summary report</w:t>
      </w:r>
      <w:r w:rsidR="00A451D2">
        <w:rPr>
          <w:noProof/>
        </w:rPr>
        <w:t>’</w:t>
      </w:r>
      <w:r>
        <w:rPr>
          <w:noProof/>
        </w:rPr>
        <w:t xml:space="preserve">. London: Department for Transport, </w:t>
      </w:r>
    </w:p>
    <w:p w:rsidR="00BB7375" w:rsidRDefault="00BB7375" w:rsidP="009401F5">
      <w:pPr>
        <w:pStyle w:val="book-para"/>
        <w:rPr>
          <w:noProof/>
        </w:rPr>
      </w:pPr>
      <w:r>
        <w:rPr>
          <w:noProof/>
        </w:rPr>
        <w:t xml:space="preserve">Smith, B. R. (2004) </w:t>
      </w:r>
      <w:r w:rsidRPr="00C5571C">
        <w:rPr>
          <w:i/>
          <w:noProof/>
        </w:rPr>
        <w:t>Adjusting the quotidian: ashtanga yoga as everyday practice,</w:t>
      </w:r>
      <w:r>
        <w:rPr>
          <w:noProof/>
        </w:rPr>
        <w:t xml:space="preserve"> paper presented at the Cultural Studies Association of Australia Conference, Perth, 9-11 December.</w:t>
      </w:r>
    </w:p>
    <w:p w:rsidR="00BB7375" w:rsidRDefault="00BB7375" w:rsidP="009401F5">
      <w:pPr>
        <w:pStyle w:val="book-para"/>
        <w:rPr>
          <w:noProof/>
        </w:rPr>
      </w:pPr>
      <w:r>
        <w:rPr>
          <w:noProof/>
        </w:rPr>
        <w:t xml:space="preserve">Solnit, R. (2001) </w:t>
      </w:r>
      <w:r w:rsidRPr="00C5571C">
        <w:rPr>
          <w:i/>
          <w:noProof/>
        </w:rPr>
        <w:t>Wanderlust: a history of walking</w:t>
      </w:r>
      <w:r>
        <w:rPr>
          <w:noProof/>
        </w:rPr>
        <w:t>, London: Verso.</w:t>
      </w:r>
    </w:p>
    <w:p w:rsidR="00BB7375" w:rsidRDefault="00BB7375" w:rsidP="009401F5">
      <w:pPr>
        <w:pStyle w:val="book-para"/>
        <w:rPr>
          <w:noProof/>
        </w:rPr>
      </w:pPr>
      <w:r>
        <w:rPr>
          <w:noProof/>
        </w:rPr>
        <w:t xml:space="preserve">Southerton, D., McMeekin, A. and Evans, D. (2011) </w:t>
      </w:r>
      <w:r w:rsidRPr="00C5571C">
        <w:rPr>
          <w:i/>
          <w:noProof/>
        </w:rPr>
        <w:t>International review of behaviour change initiatives: climate change behaviours research programme</w:t>
      </w:r>
      <w:r>
        <w:rPr>
          <w:noProof/>
        </w:rPr>
        <w:t>. Edinburgh: Scottish Government Social Research.</w:t>
      </w:r>
    </w:p>
    <w:p w:rsidR="00BB7375" w:rsidRDefault="00BB7375" w:rsidP="009401F5">
      <w:pPr>
        <w:pStyle w:val="book-para"/>
        <w:rPr>
          <w:noProof/>
        </w:rPr>
      </w:pPr>
      <w:r>
        <w:rPr>
          <w:noProof/>
        </w:rPr>
        <w:t xml:space="preserve">Strauss, S. (2005) </w:t>
      </w:r>
      <w:r w:rsidRPr="00C5571C">
        <w:rPr>
          <w:noProof/>
        </w:rPr>
        <w:t>Positioning yoga: balancing acts across cultures</w:t>
      </w:r>
      <w:r>
        <w:rPr>
          <w:noProof/>
        </w:rPr>
        <w:t>, Oxford: Berg.</w:t>
      </w:r>
    </w:p>
    <w:p w:rsidR="00BB7375" w:rsidRDefault="00BB7375" w:rsidP="009401F5">
      <w:pPr>
        <w:pStyle w:val="book-para"/>
        <w:rPr>
          <w:noProof/>
        </w:rPr>
      </w:pPr>
      <w:r>
        <w:rPr>
          <w:noProof/>
        </w:rPr>
        <w:t xml:space="preserve">Svatmarama, Y. S. and Rieker, H.-U. (1992) </w:t>
      </w:r>
      <w:r w:rsidRPr="00C5571C">
        <w:rPr>
          <w:i/>
          <w:noProof/>
        </w:rPr>
        <w:t>Hatha yoga pradipika</w:t>
      </w:r>
      <w:r>
        <w:rPr>
          <w:noProof/>
        </w:rPr>
        <w:t>, trans. E. Becherer, London: Aquarian Press.</w:t>
      </w:r>
    </w:p>
    <w:p w:rsidR="00BB7375" w:rsidRDefault="00BB7375" w:rsidP="009401F5">
      <w:pPr>
        <w:pStyle w:val="book-para"/>
        <w:rPr>
          <w:noProof/>
        </w:rPr>
      </w:pPr>
      <w:r>
        <w:rPr>
          <w:noProof/>
        </w:rPr>
        <w:t>Teachers Information: Shri K. Pattabhi Jois Ashtanga Yoga Institute. (2009). Online. Available HTTP: &lt;</w:t>
      </w:r>
      <w:r w:rsidRPr="001429BF">
        <w:rPr>
          <w:noProof/>
        </w:rPr>
        <w:t>http://kpjayi.org/the-institute/teachers</w:t>
      </w:r>
      <w:r>
        <w:rPr>
          <w:noProof/>
        </w:rPr>
        <w:t>&gt; (accessed 31 March 2011).</w:t>
      </w:r>
    </w:p>
    <w:p w:rsidR="00BB7375" w:rsidRDefault="00BB7375" w:rsidP="009401F5">
      <w:pPr>
        <w:pStyle w:val="book-para"/>
        <w:rPr>
          <w:noProof/>
        </w:rPr>
      </w:pPr>
      <w:r>
        <w:rPr>
          <w:noProof/>
        </w:rPr>
        <w:t xml:space="preserve">Urry, J. (1995) </w:t>
      </w:r>
      <w:r w:rsidRPr="00C5571C">
        <w:rPr>
          <w:i/>
          <w:noProof/>
        </w:rPr>
        <w:t>Consuming places</w:t>
      </w:r>
      <w:r>
        <w:rPr>
          <w:noProof/>
        </w:rPr>
        <w:t>, New York: Routledge.</w:t>
      </w:r>
    </w:p>
    <w:p w:rsidR="00BB7375" w:rsidRDefault="00BB7375" w:rsidP="009401F5">
      <w:pPr>
        <w:pStyle w:val="book-para"/>
        <w:rPr>
          <w:noProof/>
        </w:rPr>
      </w:pPr>
      <w:r>
        <w:rPr>
          <w:noProof/>
        </w:rPr>
        <w:t xml:space="preserve">Varenne, J. (1976) </w:t>
      </w:r>
      <w:r w:rsidRPr="00C5571C">
        <w:rPr>
          <w:i/>
          <w:noProof/>
        </w:rPr>
        <w:t>Yoga and the Hindu tradition</w:t>
      </w:r>
      <w:r>
        <w:rPr>
          <w:noProof/>
        </w:rPr>
        <w:t>, trans. D. Coltman, Chicago: University of Chicago Press.</w:t>
      </w:r>
    </w:p>
    <w:p w:rsidR="00BB7375" w:rsidRDefault="00BB7375" w:rsidP="009401F5">
      <w:pPr>
        <w:pStyle w:val="book-para"/>
        <w:rPr>
          <w:noProof/>
        </w:rPr>
      </w:pPr>
      <w:r>
        <w:rPr>
          <w:noProof/>
        </w:rPr>
        <w:t xml:space="preserve">Wallace, A. D. (1993) </w:t>
      </w:r>
      <w:r w:rsidRPr="00C5571C">
        <w:rPr>
          <w:noProof/>
        </w:rPr>
        <w:t>Walking, literature, and English culture: the origins and uses of peripatetic in the nineteenth century</w:t>
      </w:r>
      <w:r>
        <w:rPr>
          <w:noProof/>
        </w:rPr>
        <w:t>, Oxford: Clarendon Press.</w:t>
      </w:r>
    </w:p>
    <w:p w:rsidR="00BB7375" w:rsidRDefault="00BB7375" w:rsidP="009401F5">
      <w:pPr>
        <w:pStyle w:val="book-para"/>
        <w:rPr>
          <w:noProof/>
        </w:rPr>
      </w:pPr>
      <w:r>
        <w:rPr>
          <w:noProof/>
        </w:rPr>
        <w:t xml:space="preserve">Whicher, I. (1998) </w:t>
      </w:r>
      <w:r w:rsidRPr="00C5571C">
        <w:rPr>
          <w:noProof/>
        </w:rPr>
        <w:t>The integrity of the yoga darśana: a reconsideration of classical yoga</w:t>
      </w:r>
      <w:r>
        <w:rPr>
          <w:noProof/>
        </w:rPr>
        <w:t>, New York: State University of New York Press.</w:t>
      </w:r>
    </w:p>
    <w:p w:rsidR="00BB7375" w:rsidRDefault="00BB7375" w:rsidP="009401F5">
      <w:pPr>
        <w:pStyle w:val="book-para"/>
        <w:rPr>
          <w:noProof/>
        </w:rPr>
      </w:pPr>
      <w:r>
        <w:rPr>
          <w:noProof/>
        </w:rPr>
        <w:t xml:space="preserve">White, G. (1995, November/December) Every breath you take: Sting on yoga. </w:t>
      </w:r>
      <w:r w:rsidRPr="00C5571C">
        <w:rPr>
          <w:i/>
          <w:noProof/>
        </w:rPr>
        <w:t xml:space="preserve">Yoga Journal </w:t>
      </w:r>
      <w:r>
        <w:rPr>
          <w:noProof/>
        </w:rPr>
        <w:t>(125)</w:t>
      </w:r>
      <w:r w:rsidRPr="00C5571C">
        <w:rPr>
          <w:i/>
          <w:noProof/>
        </w:rPr>
        <w:t>,</w:t>
      </w:r>
      <w:r>
        <w:rPr>
          <w:noProof/>
        </w:rPr>
        <w:t xml:space="preserve"> 63-69.</w:t>
      </w:r>
    </w:p>
    <w:p w:rsidR="00BB7375" w:rsidRDefault="00BB7375" w:rsidP="009401F5">
      <w:pPr>
        <w:pStyle w:val="book-para"/>
        <w:rPr>
          <w:noProof/>
        </w:rPr>
      </w:pPr>
      <w:r>
        <w:rPr>
          <w:noProof/>
        </w:rPr>
        <w:t>Wilkins, R. (Director) (2006). Guru [Documentary Film].</w:t>
      </w:r>
    </w:p>
    <w:p w:rsidR="00BB7375" w:rsidRDefault="00BB7375" w:rsidP="009401F5">
      <w:pPr>
        <w:pStyle w:val="book-para"/>
        <w:rPr>
          <w:noProof/>
        </w:rPr>
      </w:pPr>
      <w:r>
        <w:rPr>
          <w:noProof/>
        </w:rPr>
        <w:t>Williams, D. (2009a) Lecture on Ashtanga yoga. Dancehouse Theatre, Manchester, 18 June.</w:t>
      </w:r>
    </w:p>
    <w:p w:rsidR="00BB7375" w:rsidRDefault="00BB7375" w:rsidP="009401F5">
      <w:pPr>
        <w:pStyle w:val="book-para"/>
        <w:rPr>
          <w:noProof/>
        </w:rPr>
      </w:pPr>
      <w:r>
        <w:rPr>
          <w:noProof/>
        </w:rPr>
        <w:t>Williams, D. (2009b) Lecture on the history of yoga. Dancehouse Theatre, Manchester, 20 June.</w:t>
      </w:r>
    </w:p>
    <w:p w:rsidR="00BB7375" w:rsidRDefault="00BB7375" w:rsidP="009401F5">
      <w:pPr>
        <w:pStyle w:val="book-para"/>
        <w:rPr>
          <w:noProof/>
        </w:rPr>
      </w:pPr>
      <w:r>
        <w:rPr>
          <w:noProof/>
        </w:rPr>
        <w:t xml:space="preserve">Wordsworth, W. (1977) </w:t>
      </w:r>
      <w:r w:rsidRPr="00C5571C">
        <w:rPr>
          <w:i/>
          <w:noProof/>
        </w:rPr>
        <w:t>Guide to the lakes</w:t>
      </w:r>
      <w:r>
        <w:rPr>
          <w:noProof/>
        </w:rPr>
        <w:t>, Oxford: Oxford University Press.</w:t>
      </w:r>
    </w:p>
    <w:p w:rsidR="00BB7375" w:rsidRDefault="00BB7375" w:rsidP="009401F5">
      <w:pPr>
        <w:pStyle w:val="book-para"/>
        <w:rPr>
          <w:noProof/>
        </w:rPr>
      </w:pPr>
      <w:r>
        <w:rPr>
          <w:noProof/>
        </w:rPr>
        <w:t>World Wildlife Fund Canada living planet community: pin it for the planet. Online. Available HTTP: &lt;https://community.wwf.ca/PinIt/index.cfm&gt; (accessed 15 February 2012).</w:t>
      </w:r>
    </w:p>
    <w:p w:rsidR="00BB7375" w:rsidRPr="00053610" w:rsidRDefault="00BB7375" w:rsidP="009D07CE">
      <w:pPr>
        <w:pStyle w:val="EndnoteText"/>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Times">
    <w:panose1 w:val="02020603050405020304"/>
    <w:charset w:val="00"/>
    <w:family w:val="roma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EDC" w:rsidRDefault="00F37A9D" w:rsidP="00406706">
    <w:pPr>
      <w:pStyle w:val="Footer"/>
      <w:jc w:val="center"/>
    </w:pPr>
    <w:r>
      <w:fldChar w:fldCharType="begin"/>
    </w:r>
    <w:r>
      <w:instrText xml:space="preserve"> PAGE   \* MERGEFORMAT </w:instrText>
    </w:r>
    <w:r>
      <w:fldChar w:fldCharType="separate"/>
    </w:r>
    <w:r w:rsidR="009401F5">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A9D" w:rsidRDefault="00F37A9D" w:rsidP="00406706">
      <w:r>
        <w:separator/>
      </w:r>
    </w:p>
  </w:footnote>
  <w:footnote w:type="continuationSeparator" w:id="0">
    <w:p w:rsidR="00F37A9D" w:rsidRDefault="00F37A9D" w:rsidP="004067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EDC" w:rsidRDefault="00D81EDC" w:rsidP="00406706">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proofState w:spelling="clean" w:grammar="clean"/>
  <w:attachedTemplate r:id="rId1"/>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8A3"/>
    <w:rsid w:val="000B03F5"/>
    <w:rsid w:val="001172CD"/>
    <w:rsid w:val="0017083F"/>
    <w:rsid w:val="002A3288"/>
    <w:rsid w:val="002D722B"/>
    <w:rsid w:val="002E2CAE"/>
    <w:rsid w:val="003C0056"/>
    <w:rsid w:val="00406706"/>
    <w:rsid w:val="00431DBF"/>
    <w:rsid w:val="00447223"/>
    <w:rsid w:val="00481967"/>
    <w:rsid w:val="00484FFB"/>
    <w:rsid w:val="00552292"/>
    <w:rsid w:val="0055234E"/>
    <w:rsid w:val="005F1B78"/>
    <w:rsid w:val="006911C4"/>
    <w:rsid w:val="006C464E"/>
    <w:rsid w:val="00777C38"/>
    <w:rsid w:val="00785E9B"/>
    <w:rsid w:val="007B51E6"/>
    <w:rsid w:val="008276E0"/>
    <w:rsid w:val="008679F5"/>
    <w:rsid w:val="008E02FE"/>
    <w:rsid w:val="008F12F9"/>
    <w:rsid w:val="009044FF"/>
    <w:rsid w:val="0092304E"/>
    <w:rsid w:val="00926855"/>
    <w:rsid w:val="009401F5"/>
    <w:rsid w:val="00980701"/>
    <w:rsid w:val="0099041A"/>
    <w:rsid w:val="009D07CE"/>
    <w:rsid w:val="00A43917"/>
    <w:rsid w:val="00A451D2"/>
    <w:rsid w:val="00A46BDE"/>
    <w:rsid w:val="00A727FB"/>
    <w:rsid w:val="00AF0644"/>
    <w:rsid w:val="00B34A98"/>
    <w:rsid w:val="00B75161"/>
    <w:rsid w:val="00BB7375"/>
    <w:rsid w:val="00C57F2F"/>
    <w:rsid w:val="00C74EB9"/>
    <w:rsid w:val="00C908A3"/>
    <w:rsid w:val="00C95613"/>
    <w:rsid w:val="00D534B5"/>
    <w:rsid w:val="00D81EDC"/>
    <w:rsid w:val="00DC13F3"/>
    <w:rsid w:val="00DC4711"/>
    <w:rsid w:val="00E11001"/>
    <w:rsid w:val="00E93533"/>
    <w:rsid w:val="00EC1C27"/>
    <w:rsid w:val="00EC72BA"/>
    <w:rsid w:val="00EE3C6F"/>
    <w:rsid w:val="00F37A9D"/>
    <w:rsid w:val="00F45A89"/>
    <w:rsid w:val="00F71F3D"/>
    <w:rsid w:val="00F81A2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7C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706"/>
    <w:pPr>
      <w:tabs>
        <w:tab w:val="center" w:pos="4513"/>
        <w:tab w:val="right" w:pos="9026"/>
      </w:tabs>
    </w:pPr>
  </w:style>
  <w:style w:type="character" w:customStyle="1" w:styleId="HeaderChar">
    <w:name w:val="Header Char"/>
    <w:basedOn w:val="DefaultParagraphFont"/>
    <w:link w:val="Header"/>
    <w:uiPriority w:val="99"/>
    <w:rsid w:val="00406706"/>
  </w:style>
  <w:style w:type="paragraph" w:styleId="Footer">
    <w:name w:val="footer"/>
    <w:basedOn w:val="Normal"/>
    <w:link w:val="FooterChar"/>
    <w:uiPriority w:val="99"/>
    <w:semiHidden/>
    <w:unhideWhenUsed/>
    <w:rsid w:val="00406706"/>
    <w:pPr>
      <w:tabs>
        <w:tab w:val="center" w:pos="4513"/>
        <w:tab w:val="right" w:pos="9026"/>
      </w:tabs>
    </w:pPr>
  </w:style>
  <w:style w:type="character" w:customStyle="1" w:styleId="FooterChar">
    <w:name w:val="Footer Char"/>
    <w:basedOn w:val="DefaultParagraphFont"/>
    <w:link w:val="Footer"/>
    <w:uiPriority w:val="99"/>
    <w:semiHidden/>
    <w:rsid w:val="00406706"/>
  </w:style>
  <w:style w:type="paragraph" w:customStyle="1" w:styleId="book-para">
    <w:name w:val="book-para"/>
    <w:basedOn w:val="Normal"/>
    <w:autoRedefine/>
    <w:qFormat/>
    <w:rsid w:val="009401F5"/>
    <w:pPr>
      <w:widowControl w:val="0"/>
      <w:spacing w:after="480" w:line="276" w:lineRule="auto"/>
    </w:pPr>
    <w:rPr>
      <w:rFonts w:asciiTheme="minorHAnsi" w:hAnsiTheme="minorHAnsi" w:cstheme="minorHAnsi"/>
    </w:rPr>
  </w:style>
  <w:style w:type="paragraph" w:customStyle="1" w:styleId="book-subhead">
    <w:name w:val="book-subhead"/>
    <w:basedOn w:val="book-para"/>
    <w:next w:val="book-para"/>
    <w:autoRedefine/>
    <w:qFormat/>
    <w:rsid w:val="001172CD"/>
    <w:rPr>
      <w:b/>
      <w:smallCaps/>
    </w:rPr>
  </w:style>
  <w:style w:type="paragraph" w:customStyle="1" w:styleId="book-subsubhead">
    <w:name w:val="book-subsubhead"/>
    <w:basedOn w:val="book-subhead"/>
    <w:next w:val="book-para"/>
    <w:autoRedefine/>
    <w:qFormat/>
    <w:rsid w:val="001172CD"/>
    <w:rPr>
      <w:smallCaps w:val="0"/>
    </w:rPr>
  </w:style>
  <w:style w:type="paragraph" w:customStyle="1" w:styleId="book-subsubsubhead">
    <w:name w:val="book-subsubsubhead"/>
    <w:basedOn w:val="book-subsubhead"/>
    <w:next w:val="book-para"/>
    <w:autoRedefine/>
    <w:qFormat/>
    <w:rsid w:val="001172CD"/>
    <w:rPr>
      <w:i/>
    </w:rPr>
  </w:style>
  <w:style w:type="paragraph" w:customStyle="1" w:styleId="Quote1">
    <w:name w:val="Quote1"/>
    <w:basedOn w:val="book-para"/>
    <w:next w:val="book-para"/>
    <w:qFormat/>
    <w:rsid w:val="00C57F2F"/>
    <w:pPr>
      <w:ind w:left="720"/>
    </w:pPr>
    <w:rPr>
      <w:sz w:val="22"/>
      <w:lang w:val="en-US"/>
    </w:rPr>
  </w:style>
  <w:style w:type="paragraph" w:customStyle="1" w:styleId="book-title">
    <w:name w:val="book-title"/>
    <w:basedOn w:val="book-para"/>
    <w:qFormat/>
    <w:rsid w:val="00A43917"/>
    <w:rPr>
      <w:b/>
      <w:lang w:val="en-US"/>
    </w:rPr>
  </w:style>
  <w:style w:type="paragraph" w:customStyle="1" w:styleId="book-quote">
    <w:name w:val="book-quote"/>
    <w:basedOn w:val="book-para"/>
    <w:qFormat/>
    <w:rsid w:val="00EE3C6F"/>
    <w:pPr>
      <w:ind w:left="720"/>
    </w:pPr>
  </w:style>
  <w:style w:type="character" w:styleId="PageNumber">
    <w:name w:val="page number"/>
    <w:basedOn w:val="DefaultParagraphFont"/>
    <w:uiPriority w:val="99"/>
    <w:semiHidden/>
    <w:unhideWhenUsed/>
    <w:rsid w:val="009D07CE"/>
  </w:style>
  <w:style w:type="paragraph" w:styleId="EndnoteText">
    <w:name w:val="endnote text"/>
    <w:basedOn w:val="Normal"/>
    <w:link w:val="EndnoteTextChar"/>
    <w:uiPriority w:val="99"/>
    <w:semiHidden/>
    <w:unhideWhenUsed/>
    <w:rsid w:val="009D07CE"/>
    <w:rPr>
      <w:sz w:val="20"/>
      <w:szCs w:val="20"/>
    </w:rPr>
  </w:style>
  <w:style w:type="character" w:customStyle="1" w:styleId="EndnoteTextChar">
    <w:name w:val="Endnote Text Char"/>
    <w:basedOn w:val="DefaultParagraphFont"/>
    <w:link w:val="EndnoteText"/>
    <w:uiPriority w:val="99"/>
    <w:semiHidden/>
    <w:rsid w:val="009D07CE"/>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semiHidden/>
    <w:unhideWhenUsed/>
    <w:rsid w:val="009D07CE"/>
    <w:rPr>
      <w:vertAlign w:val="superscript"/>
    </w:rPr>
  </w:style>
  <w:style w:type="character" w:styleId="CommentReference">
    <w:name w:val="annotation reference"/>
    <w:basedOn w:val="DefaultParagraphFont"/>
    <w:uiPriority w:val="99"/>
    <w:semiHidden/>
    <w:unhideWhenUsed/>
    <w:rsid w:val="009D07CE"/>
    <w:rPr>
      <w:sz w:val="16"/>
      <w:szCs w:val="16"/>
    </w:rPr>
  </w:style>
  <w:style w:type="paragraph" w:styleId="CommentText">
    <w:name w:val="annotation text"/>
    <w:basedOn w:val="Normal"/>
    <w:link w:val="CommentTextChar"/>
    <w:uiPriority w:val="99"/>
    <w:semiHidden/>
    <w:unhideWhenUsed/>
    <w:rsid w:val="009D07CE"/>
    <w:rPr>
      <w:sz w:val="20"/>
      <w:szCs w:val="20"/>
    </w:rPr>
  </w:style>
  <w:style w:type="character" w:customStyle="1" w:styleId="CommentTextChar">
    <w:name w:val="Comment Text Char"/>
    <w:basedOn w:val="DefaultParagraphFont"/>
    <w:link w:val="CommentText"/>
    <w:uiPriority w:val="99"/>
    <w:semiHidden/>
    <w:rsid w:val="009D07CE"/>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D07CE"/>
    <w:rPr>
      <w:b/>
      <w:bCs/>
    </w:rPr>
  </w:style>
  <w:style w:type="character" w:customStyle="1" w:styleId="CommentSubjectChar">
    <w:name w:val="Comment Subject Char"/>
    <w:basedOn w:val="CommentTextChar"/>
    <w:link w:val="CommentSubject"/>
    <w:uiPriority w:val="99"/>
    <w:semiHidden/>
    <w:rsid w:val="009D07CE"/>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9D07CE"/>
    <w:rPr>
      <w:rFonts w:ascii="Tahoma" w:hAnsi="Tahoma" w:cs="Tahoma"/>
      <w:sz w:val="16"/>
      <w:szCs w:val="16"/>
    </w:rPr>
  </w:style>
  <w:style w:type="character" w:customStyle="1" w:styleId="BalloonTextChar">
    <w:name w:val="Balloon Text Char"/>
    <w:basedOn w:val="DefaultParagraphFont"/>
    <w:link w:val="BalloonText"/>
    <w:uiPriority w:val="99"/>
    <w:semiHidden/>
    <w:rsid w:val="009D07CE"/>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7C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706"/>
    <w:pPr>
      <w:tabs>
        <w:tab w:val="center" w:pos="4513"/>
        <w:tab w:val="right" w:pos="9026"/>
      </w:tabs>
    </w:pPr>
  </w:style>
  <w:style w:type="character" w:customStyle="1" w:styleId="HeaderChar">
    <w:name w:val="Header Char"/>
    <w:basedOn w:val="DefaultParagraphFont"/>
    <w:link w:val="Header"/>
    <w:uiPriority w:val="99"/>
    <w:rsid w:val="00406706"/>
  </w:style>
  <w:style w:type="paragraph" w:styleId="Footer">
    <w:name w:val="footer"/>
    <w:basedOn w:val="Normal"/>
    <w:link w:val="FooterChar"/>
    <w:uiPriority w:val="99"/>
    <w:semiHidden/>
    <w:unhideWhenUsed/>
    <w:rsid w:val="00406706"/>
    <w:pPr>
      <w:tabs>
        <w:tab w:val="center" w:pos="4513"/>
        <w:tab w:val="right" w:pos="9026"/>
      </w:tabs>
    </w:pPr>
  </w:style>
  <w:style w:type="character" w:customStyle="1" w:styleId="FooterChar">
    <w:name w:val="Footer Char"/>
    <w:basedOn w:val="DefaultParagraphFont"/>
    <w:link w:val="Footer"/>
    <w:uiPriority w:val="99"/>
    <w:semiHidden/>
    <w:rsid w:val="00406706"/>
  </w:style>
  <w:style w:type="paragraph" w:customStyle="1" w:styleId="book-para">
    <w:name w:val="book-para"/>
    <w:basedOn w:val="Normal"/>
    <w:autoRedefine/>
    <w:qFormat/>
    <w:rsid w:val="009401F5"/>
    <w:pPr>
      <w:widowControl w:val="0"/>
      <w:spacing w:after="480" w:line="276" w:lineRule="auto"/>
    </w:pPr>
    <w:rPr>
      <w:rFonts w:asciiTheme="minorHAnsi" w:hAnsiTheme="minorHAnsi" w:cstheme="minorHAnsi"/>
    </w:rPr>
  </w:style>
  <w:style w:type="paragraph" w:customStyle="1" w:styleId="book-subhead">
    <w:name w:val="book-subhead"/>
    <w:basedOn w:val="book-para"/>
    <w:next w:val="book-para"/>
    <w:autoRedefine/>
    <w:qFormat/>
    <w:rsid w:val="001172CD"/>
    <w:rPr>
      <w:b/>
      <w:smallCaps/>
    </w:rPr>
  </w:style>
  <w:style w:type="paragraph" w:customStyle="1" w:styleId="book-subsubhead">
    <w:name w:val="book-subsubhead"/>
    <w:basedOn w:val="book-subhead"/>
    <w:next w:val="book-para"/>
    <w:autoRedefine/>
    <w:qFormat/>
    <w:rsid w:val="001172CD"/>
    <w:rPr>
      <w:smallCaps w:val="0"/>
    </w:rPr>
  </w:style>
  <w:style w:type="paragraph" w:customStyle="1" w:styleId="book-subsubsubhead">
    <w:name w:val="book-subsubsubhead"/>
    <w:basedOn w:val="book-subsubhead"/>
    <w:next w:val="book-para"/>
    <w:autoRedefine/>
    <w:qFormat/>
    <w:rsid w:val="001172CD"/>
    <w:rPr>
      <w:i/>
    </w:rPr>
  </w:style>
  <w:style w:type="paragraph" w:customStyle="1" w:styleId="Quote1">
    <w:name w:val="Quote1"/>
    <w:basedOn w:val="book-para"/>
    <w:next w:val="book-para"/>
    <w:qFormat/>
    <w:rsid w:val="00C57F2F"/>
    <w:pPr>
      <w:ind w:left="720"/>
    </w:pPr>
    <w:rPr>
      <w:sz w:val="22"/>
      <w:lang w:val="en-US"/>
    </w:rPr>
  </w:style>
  <w:style w:type="paragraph" w:customStyle="1" w:styleId="book-title">
    <w:name w:val="book-title"/>
    <w:basedOn w:val="book-para"/>
    <w:qFormat/>
    <w:rsid w:val="00A43917"/>
    <w:rPr>
      <w:b/>
      <w:lang w:val="en-US"/>
    </w:rPr>
  </w:style>
  <w:style w:type="paragraph" w:customStyle="1" w:styleId="book-quote">
    <w:name w:val="book-quote"/>
    <w:basedOn w:val="book-para"/>
    <w:qFormat/>
    <w:rsid w:val="00EE3C6F"/>
    <w:pPr>
      <w:ind w:left="720"/>
    </w:pPr>
  </w:style>
  <w:style w:type="character" w:styleId="PageNumber">
    <w:name w:val="page number"/>
    <w:basedOn w:val="DefaultParagraphFont"/>
    <w:uiPriority w:val="99"/>
    <w:semiHidden/>
    <w:unhideWhenUsed/>
    <w:rsid w:val="009D07CE"/>
  </w:style>
  <w:style w:type="paragraph" w:styleId="EndnoteText">
    <w:name w:val="endnote text"/>
    <w:basedOn w:val="Normal"/>
    <w:link w:val="EndnoteTextChar"/>
    <w:uiPriority w:val="99"/>
    <w:semiHidden/>
    <w:unhideWhenUsed/>
    <w:rsid w:val="009D07CE"/>
    <w:rPr>
      <w:sz w:val="20"/>
      <w:szCs w:val="20"/>
    </w:rPr>
  </w:style>
  <w:style w:type="character" w:customStyle="1" w:styleId="EndnoteTextChar">
    <w:name w:val="Endnote Text Char"/>
    <w:basedOn w:val="DefaultParagraphFont"/>
    <w:link w:val="EndnoteText"/>
    <w:uiPriority w:val="99"/>
    <w:semiHidden/>
    <w:rsid w:val="009D07CE"/>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semiHidden/>
    <w:unhideWhenUsed/>
    <w:rsid w:val="009D07CE"/>
    <w:rPr>
      <w:vertAlign w:val="superscript"/>
    </w:rPr>
  </w:style>
  <w:style w:type="character" w:styleId="CommentReference">
    <w:name w:val="annotation reference"/>
    <w:basedOn w:val="DefaultParagraphFont"/>
    <w:uiPriority w:val="99"/>
    <w:semiHidden/>
    <w:unhideWhenUsed/>
    <w:rsid w:val="009D07CE"/>
    <w:rPr>
      <w:sz w:val="16"/>
      <w:szCs w:val="16"/>
    </w:rPr>
  </w:style>
  <w:style w:type="paragraph" w:styleId="CommentText">
    <w:name w:val="annotation text"/>
    <w:basedOn w:val="Normal"/>
    <w:link w:val="CommentTextChar"/>
    <w:uiPriority w:val="99"/>
    <w:semiHidden/>
    <w:unhideWhenUsed/>
    <w:rsid w:val="009D07CE"/>
    <w:rPr>
      <w:sz w:val="20"/>
      <w:szCs w:val="20"/>
    </w:rPr>
  </w:style>
  <w:style w:type="character" w:customStyle="1" w:styleId="CommentTextChar">
    <w:name w:val="Comment Text Char"/>
    <w:basedOn w:val="DefaultParagraphFont"/>
    <w:link w:val="CommentText"/>
    <w:uiPriority w:val="99"/>
    <w:semiHidden/>
    <w:rsid w:val="009D07CE"/>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D07CE"/>
    <w:rPr>
      <w:b/>
      <w:bCs/>
    </w:rPr>
  </w:style>
  <w:style w:type="character" w:customStyle="1" w:styleId="CommentSubjectChar">
    <w:name w:val="Comment Subject Char"/>
    <w:basedOn w:val="CommentTextChar"/>
    <w:link w:val="CommentSubject"/>
    <w:uiPriority w:val="99"/>
    <w:semiHidden/>
    <w:rsid w:val="009D07CE"/>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9D07CE"/>
    <w:rPr>
      <w:rFonts w:ascii="Tahoma" w:hAnsi="Tahoma" w:cs="Tahoma"/>
      <w:sz w:val="16"/>
      <w:szCs w:val="16"/>
    </w:rPr>
  </w:style>
  <w:style w:type="character" w:customStyle="1" w:styleId="BalloonTextChar">
    <w:name w:val="Balloon Text Char"/>
    <w:basedOn w:val="DefaultParagraphFont"/>
    <w:link w:val="BalloonText"/>
    <w:uiPriority w:val="99"/>
    <w:semiHidden/>
    <w:rsid w:val="009D07CE"/>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10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mzyssnsb\AppData\Roaming\Microsoft\Templates\chapter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chaptertemplate.dotx</Template>
  <TotalTime>5</TotalTime>
  <Pages>20</Pages>
  <Words>5433</Words>
  <Characters>30970</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Manchester Business School</Company>
  <LinksUpToDate>false</LinksUpToDate>
  <CharactersWithSpaces>36331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mzyssnsb</dc:creator>
  <cp:lastModifiedBy>Allison Hui</cp:lastModifiedBy>
  <cp:revision>5</cp:revision>
  <cp:lastPrinted>2012-07-06T01:25:00Z</cp:lastPrinted>
  <dcterms:created xsi:type="dcterms:W3CDTF">2013-11-25T13:33:00Z</dcterms:created>
  <dcterms:modified xsi:type="dcterms:W3CDTF">2017-03-31T12:50:00Z</dcterms:modified>
</cp:coreProperties>
</file>